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51F" w:rsidRDefault="00854BF3">
      <w:pPr>
        <w:rPr>
          <w:lang w:val="en-CA"/>
        </w:rPr>
      </w:pPr>
      <w:proofErr w:type="spellStart"/>
      <w:r>
        <w:rPr>
          <w:lang w:val="en-CA"/>
        </w:rPr>
        <w:t>Genefu</w:t>
      </w:r>
      <w:proofErr w:type="spellEnd"/>
      <w:r>
        <w:rPr>
          <w:lang w:val="en-CA"/>
        </w:rPr>
        <w:t xml:space="preserve"> applied to TCGA data</w:t>
      </w:r>
    </w:p>
    <w:p w:rsidR="00854BF3" w:rsidRDefault="00854BF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3600000" cy="36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GA_PAM50_genefu_initial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F3" w:rsidRDefault="00854BF3">
      <w:pPr>
        <w:rPr>
          <w:lang w:val="en-CA"/>
        </w:rPr>
      </w:pPr>
      <w:r>
        <w:rPr>
          <w:lang w:val="en-CA"/>
        </w:rPr>
        <w:t xml:space="preserve">Fig 1:  Initial results for </w:t>
      </w:r>
      <w:proofErr w:type="spellStart"/>
      <w:r>
        <w:rPr>
          <w:lang w:val="en-CA"/>
        </w:rPr>
        <w:t>genefu</w:t>
      </w:r>
      <w:proofErr w:type="spellEnd"/>
      <w:r>
        <w:rPr>
          <w:lang w:val="en-CA"/>
        </w:rPr>
        <w:t xml:space="preserve"> classification of TCGA BRCA cases</w:t>
      </w:r>
    </w:p>
    <w:p w:rsidR="00854BF3" w:rsidRDefault="00854BF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3600000" cy="4658846"/>
            <wp:effectExtent l="4128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A.large-3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0000" cy="46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F3" w:rsidRDefault="00854BF3">
      <w:pPr>
        <w:rPr>
          <w:lang w:val="en-CA"/>
        </w:rPr>
      </w:pPr>
      <w:r>
        <w:rPr>
          <w:lang w:val="en-CA"/>
        </w:rPr>
        <w:t>Fig 2:  Figure A from Chia et al (2012)</w:t>
      </w:r>
    </w:p>
    <w:p w:rsidR="00854BF3" w:rsidRDefault="00854BF3">
      <w:pPr>
        <w:rPr>
          <w:lang w:val="en-CA"/>
        </w:rPr>
      </w:pPr>
    </w:p>
    <w:p w:rsidR="00854BF3" w:rsidRDefault="00854BF3">
      <w:pPr>
        <w:rPr>
          <w:lang w:val="en-CA"/>
        </w:rPr>
      </w:pPr>
      <w:r>
        <w:rPr>
          <w:lang w:val="en-CA"/>
        </w:rPr>
        <w:lastRenderedPageBreak/>
        <w:t>Initial classification of TCGA BRCA cases into PAM50 subtypes using the R package "</w:t>
      </w:r>
      <w:proofErr w:type="spellStart"/>
      <w:r>
        <w:rPr>
          <w:lang w:val="en-CA"/>
        </w:rPr>
        <w:t>genefu</w:t>
      </w:r>
      <w:proofErr w:type="spellEnd"/>
      <w:r>
        <w:rPr>
          <w:lang w:val="en-CA"/>
        </w:rPr>
        <w:t>" yields survival curves (Fig 1 above) quite dissimilar from PAM50 survival curves shown in Chia et al (2012) (Fig 2 above).</w:t>
      </w:r>
    </w:p>
    <w:p w:rsidR="00854BF3" w:rsidRDefault="00854BF3">
      <w:pPr>
        <w:rPr>
          <w:lang w:val="en-CA"/>
        </w:rPr>
      </w:pPr>
    </w:p>
    <w:p w:rsidR="00854BF3" w:rsidRDefault="00455205">
      <w:pPr>
        <w:rPr>
          <w:lang w:val="en-CA"/>
        </w:rPr>
      </w:pPr>
      <w:r>
        <w:rPr>
          <w:lang w:val="en-CA"/>
        </w:rPr>
        <w:t>Obtaining more satisfactory PAM50 classifications will require additional effort, no doubt several weeks of effort, to implement a schema as discussed by Curtis et al. in the METABRIC paper.</w:t>
      </w:r>
    </w:p>
    <w:p w:rsidR="0021720D" w:rsidRDefault="0021720D">
      <w:pPr>
        <w:rPr>
          <w:lang w:val="en-CA"/>
        </w:rPr>
      </w:pPr>
    </w:p>
    <w:p w:rsidR="0021720D" w:rsidRDefault="0021720D" w:rsidP="0021720D">
      <w:pPr>
        <w:autoSpaceDE w:val="0"/>
        <w:autoSpaceDN w:val="0"/>
        <w:adjustRightInd w:val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4.2 PAM50 classification</w:t>
      </w:r>
    </w:p>
    <w:p w:rsidR="0021720D" w:rsidRDefault="0021720D" w:rsidP="002172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Samples were classified into the five intrinsic subtypes [9,10] based on PAM50 [11]. As we have previously</w:t>
      </w:r>
    </w:p>
    <w:p w:rsidR="0021720D" w:rsidRDefault="0021720D" w:rsidP="002172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noted probe annotation to be an important consideration in sample classification using microarray data [12],</w:t>
      </w:r>
    </w:p>
    <w:p w:rsidR="0021720D" w:rsidRDefault="0021720D" w:rsidP="002172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the PAM50 gene-list was refined so that only genes for which a corresponding probe with perfect annotation</w:t>
      </w:r>
    </w:p>
    <w:p w:rsidR="0021720D" w:rsidRDefault="0021720D" w:rsidP="002172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on the Illumina HT-12 v3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BeadChip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[7] were used for classification. As a result, BAG1 and TMEM45B</w:t>
      </w:r>
    </w:p>
    <w:p w:rsidR="0021720D" w:rsidRDefault="0021720D" w:rsidP="002172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were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not included in the classification. For genes with more than one probe, probes were selected on the</w:t>
      </w:r>
    </w:p>
    <w:p w:rsidR="0021720D" w:rsidRDefault="0021720D" w:rsidP="002172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basis of their annotation. For example, probes containing a SNP were avoided as were those which target</w:t>
      </w:r>
    </w:p>
    <w:p w:rsidR="0021720D" w:rsidRDefault="0021720D" w:rsidP="002172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introns, have secondary targets or mismatches, lie in repeat-masked regions, or target the wrong genomic</w:t>
      </w:r>
    </w:p>
    <w:p w:rsidR="0021720D" w:rsidRDefault="0021720D" w:rsidP="0021720D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strand. As previously recommended [13], all probes were median centred prior to classification. Due to the</w:t>
      </w:r>
    </w:p>
    <w:p w:rsidR="0021720D" w:rsidRDefault="0021720D" w:rsidP="002172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imbalance in ER status, we defined 100 random reference distributions consisting of all ER-negative samples</w:t>
      </w:r>
    </w:p>
    <w:p w:rsidR="0021720D" w:rsidRDefault="0021720D" w:rsidP="002172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and randomly selected ER-positive samples during the median centring step. This resulted in 100 di</w:t>
      </w:r>
      <w:r>
        <w:rPr>
          <w:rFonts w:ascii="Times New Roman" w:hAnsi="Times New Roman" w:cs="Times New Roman"/>
          <w:sz w:val="20"/>
          <w:szCs w:val="20"/>
          <w:lang w:val="en-CA"/>
        </w:rPr>
        <w:t>ff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CA"/>
        </w:rPr>
        <w:t>erent</w:t>
      </w:r>
    </w:p>
    <w:p w:rsidR="0021720D" w:rsidRDefault="0021720D" w:rsidP="002172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classifications and the final subtype calls were derived by taking a consensus across all 100 trials. Samples</w:t>
      </w:r>
    </w:p>
    <w:p w:rsidR="0021720D" w:rsidRDefault="0021720D" w:rsidP="002172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were then assigned to one of the five intrinsic subtypes using the Spearman correlation to the published</w:t>
      </w:r>
    </w:p>
    <w:p w:rsidR="0021720D" w:rsidRDefault="0021720D" w:rsidP="0021720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centroids and the transformed intensities, where samples with correlations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&lt;  0.1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for all subtypes were not</w:t>
      </w:r>
    </w:p>
    <w:p w:rsidR="0021720D" w:rsidRPr="00854BF3" w:rsidRDefault="0021720D" w:rsidP="0021720D">
      <w:pPr>
        <w:autoSpaceDE w:val="0"/>
        <w:autoSpaceDN w:val="0"/>
        <w:adjustRightInd w:val="0"/>
        <w:rPr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classified (NC) (0 samples in the discovery set, 6 samples in the validation set).</w:t>
      </w:r>
    </w:p>
    <w:sectPr w:rsidR="0021720D" w:rsidRPr="00854BF3" w:rsidSect="0029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F3"/>
    <w:rsid w:val="001B751F"/>
    <w:rsid w:val="0021720D"/>
    <w:rsid w:val="002944D1"/>
    <w:rsid w:val="002D7CE6"/>
    <w:rsid w:val="003F3B01"/>
    <w:rsid w:val="00455205"/>
    <w:rsid w:val="00854BF3"/>
    <w:rsid w:val="00B2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C2010"/>
  <w14:defaultImageDpi w14:val="32767"/>
  <w15:chartTrackingRefBased/>
  <w15:docId w15:val="{8AE06599-C5FB-B24A-A6EF-E11788CB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(null)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303</Words>
  <Characters>1733</Characters>
  <Application>Microsoft Office Word</Application>
  <DocSecurity>0</DocSecurity>
  <Lines>14</Lines>
  <Paragraphs>4</Paragraphs>
  <ScaleCrop>false</ScaleCrop>
  <Company>BCCRC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McKinney</dc:creator>
  <cp:keywords/>
  <dc:description/>
  <cp:lastModifiedBy>Steven McKinney</cp:lastModifiedBy>
  <cp:revision>3</cp:revision>
  <dcterms:created xsi:type="dcterms:W3CDTF">2018-04-24T00:54:00Z</dcterms:created>
  <dcterms:modified xsi:type="dcterms:W3CDTF">2018-04-24T01:16:00Z</dcterms:modified>
</cp:coreProperties>
</file>