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Age-Associated</w:t>
      </w:r>
      <w:r>
        <w:t xml:space="preserve"> </w:t>
      </w:r>
      <w:r>
        <w:t xml:space="preserve">Biomarker</w:t>
      </w:r>
      <w:r>
        <w:t xml:space="preserve"> </w:t>
      </w:r>
      <w:r>
        <w:t xml:space="preserve">Study</w:t>
      </w:r>
      <w:r>
        <w:br w:type="textWrapping"/>
      </w:r>
      <w:r>
        <w:t xml:space="preserve">TCGA</w:t>
      </w:r>
      <w:r>
        <w:t xml:space="preserve"> </w:t>
      </w:r>
      <w:r>
        <w:t xml:space="preserve">Kidney</w:t>
      </w:r>
      <w:r>
        <w:t xml:space="preserve"> </w:t>
      </w:r>
      <w:r>
        <w:t xml:space="preserve">Cancer</w:t>
      </w:r>
      <w:r>
        <w:t xml:space="preserve"> </w:t>
      </w:r>
      <w:r>
        <w:t xml:space="preserve">RNA-Seq</w:t>
      </w:r>
      <w:r>
        <w:t xml:space="preserve"> </w:t>
      </w:r>
      <w:r>
        <w:t xml:space="preserve">Findings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TCGA Kidney cancer data contained 532 clinically annotated cases with gene expression measured via RNA-Seq for 18950 gene targets.</w:t>
      </w:r>
    </w:p>
    <w:p>
      <w:pPr>
        <w:pStyle w:val="BodyText"/>
      </w:pPr>
      <w:r>
        <w:t xml:space="preserve">23 gene targets (0.1%) showed an absolute fold change of 1.25 or larger and an adjusted p-value less than 0.01, demonstrating age-associated expression structure. (The METABRIC series yielded 4335 age-associated targets from 48803 probesets (9%) that showed an absolute fold change of 1.25 or larger and an adjusted p-value less than 0.01.)</w:t>
      </w:r>
    </w:p>
    <w:p>
      <w:pPr>
        <w:pStyle w:val="Heading1"/>
      </w:pPr>
      <w:bookmarkStart w:id="22" w:name="details"/>
      <w:bookmarkEnd w:id="22"/>
      <w:r>
        <w:t xml:space="preserve">Details</w:t>
      </w:r>
    </w:p>
    <w:p>
      <w:pPr>
        <w:pStyle w:val="TableCaption"/>
      </w:pPr>
      <w:r>
        <w:t xml:space="preserve">Table 1: Data Sources</w:t>
      </w:r>
    </w:p>
    <w:tbl>
      <w:tblPr>
        <w:tblStyle w:val="TableNormal"/>
        <w:tblW w:type="pct" w:w="5000.0"/>
        <w:tblLook w:firstRow="1"/>
        <w:tblCaption w:val="Table 1: Data Sources"/>
      </w:tblPr>
      <w:tblGrid>
        <w:gridCol w:w="2335"/>
        <w:gridCol w:w="5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TCGA Kidney clinical</w:t>
            </w:r>
          </w:p>
        </w:tc>
        <w:tc>
          <w:p>
            <w:pPr>
              <w:pStyle w:val="Compact"/>
              <w:jc w:val="left"/>
            </w:pPr>
            <w:r>
              <w:t xml:space="preserve">data_bcr_clinical_data_patient.txt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RNA-Seq expression</w:t>
            </w:r>
          </w:p>
        </w:tc>
        <w:tc>
          <w:p>
            <w:pPr>
              <w:pStyle w:val="Compact"/>
              <w:jc w:val="left"/>
            </w:pPr>
            <w:r>
              <w:t xml:space="preserve">data_RNA_Seq_v2_expression_median.rds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METABRIC annotations</w:t>
            </w:r>
          </w:p>
        </w:tc>
        <w:tc>
          <w:p>
            <w:pPr>
              <w:pStyle w:val="Compact"/>
              <w:jc w:val="left"/>
            </w:pPr>
            <w:r>
              <w:t xml:space="preserve">Annotation_Illumina_Human-WG-V3_hg18_V1.0.0_Aug09.rds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AgeRelated_Accession_Numbersv02.csv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EZH2-related genes</w:t>
            </w:r>
          </w:p>
        </w:tc>
        <w:tc>
          <w:p>
            <w:pPr>
              <w:pStyle w:val="Compact"/>
              <w:jc w:val="left"/>
            </w:pPr>
            <w:r>
              <w:t xml:space="preserve">EZH2relatedGenesv08.csv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 binding</w:t>
            </w:r>
          </w:p>
        </w:tc>
        <w:tc>
          <w:p>
            <w:pPr>
              <w:pStyle w:val="Compact"/>
              <w:jc w:val="left"/>
            </w:pPr>
            <w:r>
              <w:t xml:space="preserve">ER_binding_gene_hg19_threshold_1e-5.txt</w:t>
            </w:r>
          </w:p>
        </w:tc>
      </w:tr>
    </w:tbl>
    <w:p>
      <w:pPr>
        <w:pStyle w:val="BodyText"/>
      </w:pPr>
      <w:r>
        <w:t xml:space="preserve">Data are annotated with HUGO gene names. Refseq IDs were not available.</w:t>
      </w:r>
    </w:p>
    <w:p>
      <w:pPr>
        <w:pStyle w:val="BodyText"/>
      </w:pPr>
      <w:r>
        <w:t xml:space="preserve">18950 gene targets were available in RNA-Seq expression data.</w:t>
      </w:r>
    </w:p>
    <w:p>
      <w:pPr>
        <w:pStyle w:val="BodyText"/>
      </w:pPr>
      <w:r>
        <w:t xml:space="preserve">Clinical data available included age at diagnosis for 532 cases.</w:t>
      </w:r>
    </w:p>
    <w:p>
      <w:pPr>
        <w:pStyle w:val="BodyText"/>
      </w:pPr>
      <w:r>
        <w:t xml:space="preserve">Linear regression modeling was carried out using the base-2 logarithms of the RNA-Seq expression data as the dependent variable, and age at diagnosis as the independent variable.</w:t>
      </w:r>
    </w:p>
    <w:p>
      <w:pPr>
        <w:pStyle w:val="BodyText"/>
      </w:pPr>
      <w:r>
        <w:t xml:space="preserve">Three regression lines were fitted for each gene target: one for age &lt;= 60 years, one for age &gt; 60 years, and one for all ages. Estimated slope of regression line for each of the three fits was recorded, along with the p-value for the test of regression line slope equal to zero (no correlation between age and expression). P-values were adjusted for multiple comparisons using the Benjamini-Hochberg method.</w:t>
      </w:r>
    </w:p>
    <w:p>
      <w:pPr>
        <w:pStyle w:val="BodyText"/>
      </w:pPr>
      <w:r>
        <w:t xml:space="preserve">An association with age was declared for a gene target if at least one of the regression lines indicated an absolute fold change of 1.25 or greater over the age range for the regression fit, with an adjusted p-value less than 0.01. The fold change requirement is to ensure that some degree of biological relevance is present in the findings. With such a large data set (532 cases), trivially small changes in expression can yield a small p-value. These statistical artifacts are not generally useful in attempting to better understand the underlying biological mechanisms occurring in the data. Inclusion of a minimum absolute fold change criterion helps to ensure that statistically significant findings also have some degree of biological relevance.</w:t>
      </w:r>
    </w:p>
    <w:p>
      <w:pPr>
        <w:pStyle w:val="BodyText"/>
      </w:pPr>
      <w:r>
        <w:t xml:space="preserve">There is insufficient evidence to claim a statistically significant association between ER binding and age-associated expression, as seen in the Fisher's Exact Test.</w:t>
      </w:r>
    </w:p>
    <w:p>
      <w:pPr>
        <w:pStyle w:val="TableCaption"/>
      </w:pPr>
      <w:r>
        <w:t xml:space="preserve">Table 2: ER binding and age associated gene counts for the TCGA Kidney cancer data</w:t>
      </w:r>
    </w:p>
    <w:tbl>
      <w:tblPr>
        <w:tblStyle w:val="TableNormal"/>
        <w:tblW w:type="pct" w:w="4999.999999999999"/>
        <w:tblLook w:firstRow="1"/>
        <w:tblCaption w:val="Table 2: ER binding and age associated gene counts for the TCGA Kidney cancer data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</w:t>
            </w:r>
            <w:r>
              <w:br w:type="textWrapping"/>
            </w:r>
            <w:r>
              <w:t xml:space="preserve">17.3913%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1674</w:t>
            </w:r>
            <w:r>
              <w:br w:type="textWrapping"/>
            </w:r>
            <w:r>
              <w:t xml:space="preserve">8.8445%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1678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19</w:t>
            </w:r>
            <w:r>
              <w:br w:type="textWrapping"/>
            </w:r>
            <w:r>
              <w:t xml:space="preserve">82.6087%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17253</w:t>
            </w:r>
            <w:r>
              <w:br w:type="textWrapping"/>
            </w:r>
            <w:r>
              <w:t xml:space="preserve">91.1555%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17272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  <w:r>
              <w:br w:type="textWrapping"/>
            </w:r>
            <w:r>
              <w:t xml:space="preserve">0.1214%</w:t>
            </w:r>
          </w:p>
        </w:tc>
        <w:tc>
          <w:p>
            <w:pPr>
              <w:pStyle w:val="Compact"/>
              <w:jc w:val="center"/>
            </w:pPr>
            <w:r>
              <w:t xml:space="preserve">18927</w:t>
            </w:r>
            <w:r>
              <w:br w:type="textWrapping"/>
            </w:r>
            <w:r>
              <w:t xml:space="preserve">99.8786%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</w:t>
      </w:r>
      <w:r>
        <w:br w:type="textWrapping"/>
      </w:r>
      <w:r>
        <w:rPr>
          <w:rStyle w:val="VerbatimChar"/>
        </w:rPr>
        <w:t xml:space="preserve">## p-value = 0.1409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0.5361687 6.5390925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2.169658</w:t>
      </w:r>
    </w:p>
    <w:p>
      <w:pPr>
        <w:pStyle w:val="FirstParagraph"/>
      </w:pPr>
      <w:r>
        <w:t xml:space="preserve">Additional data on genes showing an ER binding affinity are available from a ChIP-Seq study (Carroll et al.).</w:t>
      </w:r>
    </w:p>
    <w:p>
      <w:pPr>
        <w:pStyle w:val="BodyText"/>
      </w:pPr>
      <w:r>
        <w:t xml:space="preserve">Of the 18950 gene targets available, 1678 were identified as having an ER binding affinity from the ChIP-Seq findings (9%).</w:t>
      </w:r>
    </w:p>
    <w:p>
      <w:pPr>
        <w:pStyle w:val="BodyText"/>
      </w:pPr>
      <w:r>
        <w:t xml:space="preserve">Of the 23 age-associated gene targets, 4 were in the ER binding set (17%) showing a degree of enrichment in the age-associated set.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pPr>
        <w:pStyle w:val="FirstParagraph"/>
      </w:pPr>
      <w:r>
        <w:t xml:space="preserve">Representative age-associated gene target plots are shown below for different patterns of association. LOESS smoothing curves are shown on each graph since expression trends can be more complex than linear trends.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GA_KidneyCa_AgeAssociated_ERBinding_Genes_files/figure-docx/plot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a2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Age-Associated Biomarker Study TCGA Kidney Cancer RNA-Seq Findings</dc:title>
  <dc:creator>Derek Chiu</dc:creator>
  <dcterms:created xsi:type="dcterms:W3CDTF">2017-10-12T21:27:10Z</dcterms:created>
  <dcterms:modified xsi:type="dcterms:W3CDTF">2017-10-12T21:27:10Z</dcterms:modified>
</cp:coreProperties>
</file>