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p>
    <w:p>
      <w:pPr>
        <w:spacing w:after="0" w:before="0"/>
        <w:jc w:val="center"/>
      </w:pPr>
      <w:r>
        <w:rPr>
          <w:rFonts w:ascii="黑体" w:cs="黑体" w:eastAsia="黑体" w:hAnsi="黑体"/>
          <w:b/>
          <w:bCs/>
          <w:sz w:val="48"/>
          <w:szCs w:val="48"/>
        </w:rPr>
        <w:t xml:space="preserve">中老年人群高血脂症的风险预警</w:t>
      </w:r>
    </w:p>
    <w:p>
      <w:pPr>
        <w:spacing w:after="0" w:before="0"/>
        <w:jc w:val="center"/>
      </w:pPr>
      <w:r>
        <w:rPr>
          <w:rFonts w:ascii="黑体" w:cs="黑体" w:eastAsia="黑体" w:hAnsi="黑体"/>
          <w:b/>
          <w:bCs/>
          <w:sz w:val="48"/>
          <w:szCs w:val="48"/>
        </w:rPr>
        <w:t xml:space="preserve">及干预方案优化</w:t>
      </w:r>
    </w:p>
    <w:p>
      <w:pPr>
        <w:spacing w:after="0" w:before="0"/>
      </w:pPr>
    </w:p>
    <w:p>
      <w:pPr>
        <w:spacing w:after="0" w:before="0"/>
        <w:jc w:val="center"/>
      </w:pPr>
      <w:r>
        <w:rPr>
          <w:rFonts w:ascii="黑体" w:cs="黑体" w:eastAsia="黑体" w:hAnsi="黑体"/>
          <w:b/>
          <w:bCs/>
          <w:sz w:val="32"/>
          <w:szCs w:val="32"/>
        </w:rPr>
        <w:t xml:space="preserve">摘  要</w:t>
      </w:r>
    </w:p>
    <w:p>
      <w:pPr>
        <w:spacing w:after="0" w:before="0" w:line="360"/>
        <w:ind w:firstLine="480"/>
      </w:pPr>
      <w:r>
        <w:rPr>
          <w:rFonts w:ascii="宋体" w:cs="宋体" w:eastAsia="宋体" w:hAnsi="宋体"/>
          <w:sz w:val="24"/>
          <w:szCs w:val="24"/>
        </w:rPr>
        <w:t xml:space="preserve">人口老龄化背景下，40岁及以上中老年人群高血脂症发病率逐年攀升。中医体质学认为痰湿体质与血脂代谢异常高度契合，但现有筛查单一依赖血脂检测，缺乏多维度综合考量。本文融合中医体质分类标签、痰湿体质特征量化指标、中老年人活动量表评分、血常规体检数据及高血脂症诊断标签，构建多维度数学模型。</w:t>
      </w:r>
    </w:p>
    <w:p>
      <w:pPr>
        <w:spacing w:after="0" w:before="0" w:line="360"/>
        <w:ind w:firstLine="480"/>
      </w:pPr>
      <w:r>
        <w:rPr>
          <w:rFonts w:ascii="宋体" w:cs="宋体" w:eastAsia="宋体" w:hAnsi="宋体"/>
          <w:b/>
          <w:bCs/>
          <w:sz w:val="24"/>
          <w:szCs w:val="24"/>
        </w:rPr>
        <w:t xml:space="preserve">针对问题一</w:t>
      </w:r>
      <w:r>
        <w:rPr>
          <w:rFonts w:ascii="宋体" w:cs="宋体" w:eastAsia="宋体" w:hAnsi="宋体"/>
          <w:sz w:val="24"/>
          <w:szCs w:val="24"/>
        </w:rPr>
        <w:t xml:space="preserve">，采用LASSO回归、随机森林、Spearman相关、互信息四种方法交叉验证，筛选出表征痰湿体质的14项关键指标（ADL进食评分3/4选中、BMI 3/4选中、非HDL胆固醇等）和预警高血脂的10项关键指标（血脂异常项数ρ=0.5379、TG ρ=0.4887、非HDL ρ=0.4522等）。Logistic回归OR值分析显示阳虚质贡献度最高（OR=1.197），血瘀质呈保护倾向（OR=0.849）。</w:t>
      </w:r>
    </w:p>
    <w:p>
      <w:pPr>
        <w:spacing w:after="0" w:before="0" w:line="360"/>
        <w:ind w:firstLine="480"/>
      </w:pPr>
      <w:r>
        <w:rPr>
          <w:rFonts w:ascii="宋体" w:cs="宋体" w:eastAsia="宋体" w:hAnsi="宋体"/>
          <w:b/>
          <w:bCs/>
          <w:sz w:val="24"/>
          <w:szCs w:val="24"/>
        </w:rPr>
        <w:t xml:space="preserve">针对问题二</w:t>
      </w:r>
      <w:r>
        <w:rPr>
          <w:rFonts w:ascii="宋体" w:cs="宋体" w:eastAsia="宋体" w:hAnsi="宋体"/>
          <w:sz w:val="24"/>
          <w:szCs w:val="24"/>
        </w:rPr>
        <w:t xml:space="preserve">，构建三级风险预警模型，1000例样本分为低232人(23.2%)、中540人(54.0%)、高228人(22.8%)。6模型对比中GradientBoosting最优（准确率90.80%，F1=0.9034），决策树提取可解释规则。消融实验证实去除中医体质维度性能下降31.8%，中西医结合较纯西医提升49.1%。</w:t>
      </w:r>
    </w:p>
    <w:p>
      <w:pPr>
        <w:spacing w:after="0" w:before="0" w:line="360"/>
        <w:ind w:firstLine="480"/>
      </w:pPr>
      <w:r>
        <w:rPr>
          <w:rFonts w:ascii="宋体" w:cs="宋体" w:eastAsia="宋体" w:hAnsi="宋体"/>
          <w:b/>
          <w:bCs/>
          <w:sz w:val="24"/>
          <w:szCs w:val="24"/>
        </w:rPr>
        <w:t xml:space="preserve">针对问题三</w:t>
      </w:r>
      <w:r>
        <w:rPr>
          <w:rFonts w:ascii="宋体" w:cs="宋体" w:eastAsia="宋体" w:hAnsi="宋体"/>
          <w:sz w:val="24"/>
          <w:szCs w:val="24"/>
        </w:rPr>
        <w:t xml:space="preserve">，针对278例痰湿体质患者构建多目标优化模型，枚举1838个Pareto最优方案。样本1(痰湿64分)最优方案为3级强化+10次/周，成本1500元降25.2分；样本2(58分)为1级基础+2级中强度1次/周，300元降18.0分；样本3(59分)为2级中度+3级高强度1次/周，672元降25.5分。AHP确定权重：效果53.9%&gt;耐受度29.7%&gt;成本16.4%。灰色GM(1,1)预测验证一致性。</w:t>
      </w:r>
    </w:p>
    <w:p>
      <w:pPr>
        <w:spacing w:after="0" w:before="0"/>
      </w:pPr>
    </w:p>
    <w:p>
      <w:pPr>
        <w:spacing w:after="0" w:before="0" w:line="360"/>
      </w:pPr>
      <w:r>
        <w:rPr>
          <w:rFonts w:ascii="宋体" w:cs="宋体" w:eastAsia="宋体" w:hAnsi="宋体"/>
          <w:sz w:val="24"/>
          <w:szCs w:val="24"/>
        </w:rPr>
        <w:t xml:space="default"/>
      </w:r>
    </w:p>
    <w:p>
      <w:pPr>
        <w:spacing w:after="0" w:before="0" w:line="360"/>
      </w:pPr>
      <w:r>
        <w:rPr>
          <w:rFonts w:ascii="宋体" w:cs="宋体" w:eastAsia="宋体" w:hAnsi="宋体"/>
          <w:sz w:val="24"/>
          <w:szCs w:val="24"/>
        </w:rPr>
        <w:t xml:space="default"/>
      </w:r>
    </w:p>
    <w:p>
      <w:r>
        <w:br w:type="page"/>
      </w:r>
    </w:p>
    <w:p>
      <w:pPr>
        <w:pageBreakBefore/>
        <w:spacing w:after="0" w:before="0" w:line="360"/>
        <w:jc w:val="center"/>
      </w:pPr>
      <w:r>
        <w:rPr>
          <w:rFonts w:ascii="黑体" w:cs="黑体" w:eastAsia="黑体" w:hAnsi="黑体"/>
          <w:b/>
          <w:bCs/>
          <w:sz w:val="32"/>
          <w:szCs w:val="32"/>
        </w:rPr>
        <w:t xml:space="preserve">一、问题重述</w:t>
      </w:r>
    </w:p>
    <w:p>
      <w:pPr>
        <w:spacing w:after="0" w:before="0" w:line="360"/>
      </w:pPr>
      <w:r>
        <w:rPr>
          <w:rFonts w:ascii="黑体" w:cs="黑体" w:eastAsia="黑体" w:hAnsi="黑体"/>
          <w:b/>
          <w:bCs/>
          <w:sz w:val="26"/>
          <w:szCs w:val="26"/>
        </w:rPr>
        <w:t xml:space="preserve">1.1 问题背景</w:t>
      </w:r>
    </w:p>
    <w:p>
      <w:pPr>
        <w:spacing w:after="0" w:before="0" w:line="360"/>
        <w:ind w:firstLine="480"/>
      </w:pPr>
      <w:r>
        <w:rPr>
          <w:rFonts w:ascii="宋体" w:cs="宋体" w:eastAsia="宋体" w:hAnsi="宋体"/>
          <w:sz w:val="24"/>
          <w:szCs w:val="24"/>
        </w:rPr>
        <w:t xml:space="preserve">人口老龄化进程的持续加快，使得40岁及以上中老年人群成为慢性病防控的核心群体。高血脂症发病率呈逐年攀升态势，已成为诱发冠心病、脑梗死等心脑血管疾病的重要危险因素，严重威胁中老年群体的心血管健康与生活质量，也加重了基层医疗的慢病管理负担。</w:t>
      </w:r>
    </w:p>
    <w:p>
      <w:pPr>
        <w:spacing w:after="0" w:before="0" w:line="360"/>
        <w:ind w:firstLine="480"/>
      </w:pPr>
      <w:r>
        <w:rPr>
          <w:rFonts w:ascii="宋体" w:cs="宋体" w:eastAsia="宋体" w:hAnsi="宋体"/>
          <w:sz w:val="24"/>
          <w:szCs w:val="24"/>
        </w:rPr>
        <w:t xml:space="preserve">从中医体质学视角来看，体质禀赋与偏颇是疾病发生发展的内在根基。痰湿体质为中老年高血脂症的高发体质类型，该体质人群存在痰湿内蕴、脾胃运化失常、水湿代谢不畅的核心特征。脾失健运、痰湿阻滞恰与西医血脂代谢异常的病理机制高度契合，痰湿膏脂内停于脉道，终致血脂紊乱。二者的病理关联为中西医结合防控提供了重要理论支撑。</w:t>
      </w:r>
    </w:p>
    <w:p>
      <w:pPr>
        <w:spacing w:after="0" w:before="0" w:line="360"/>
        <w:ind w:firstLine="480"/>
      </w:pPr>
      <w:r>
        <w:rPr>
          <w:rFonts w:ascii="宋体" w:cs="宋体" w:eastAsia="宋体" w:hAnsi="宋体"/>
          <w:sz w:val="24"/>
          <w:szCs w:val="24"/>
        </w:rPr>
        <w:t xml:space="preserve">中医"治未病"思想是慢病防控的核心准则，强调"未病先防、既病防变、瘥后防复"。但目前临床筛查仍单一依赖血常规血脂检测数据，缺乏对中医体质分型、日常活动能力等维度的综合考量，既无法对痰湿体质等偏颇体质人群实现未病先防的精准风险预警，也难以针对确诊患者结合体质特征制定个性化干预方案。</w:t>
      </w:r>
    </w:p>
    <w:p>
      <w:pPr>
        <w:spacing w:after="0" w:before="0" w:line="360"/>
      </w:pPr>
      <w:r>
        <w:rPr>
          <w:rFonts w:ascii="黑体" w:cs="黑体" w:eastAsia="黑体" w:hAnsi="黑体"/>
          <w:b/>
          <w:bCs/>
          <w:sz w:val="26"/>
          <w:szCs w:val="26"/>
        </w:rPr>
        <w:t xml:space="preserve">1.2 问题描述</w:t>
      </w:r>
    </w:p>
    <w:p>
      <w:pPr>
        <w:spacing w:after="0" w:before="0" w:line="360"/>
        <w:ind w:firstLine="480"/>
      </w:pPr>
      <w:r>
        <w:rPr>
          <w:rFonts w:ascii="宋体" w:cs="宋体" w:eastAsia="宋体" w:hAnsi="宋体"/>
          <w:sz w:val="24"/>
          <w:szCs w:val="24"/>
        </w:rPr>
        <w:t xml:space="preserve">附件给出1000例病患个案数据，各参赛队也可自行搜集补充数据。研究以下问题：</w:t>
      </w:r>
    </w:p>
    <w:p>
      <w:pPr>
        <w:spacing w:after="0" w:before="0" w:line="360"/>
        <w:ind w:firstLine="480"/>
      </w:pPr>
      <w:r>
        <w:rPr>
          <w:rFonts w:ascii="宋体" w:cs="宋体" w:eastAsia="宋体" w:hAnsi="宋体"/>
          <w:sz w:val="24"/>
          <w:szCs w:val="24"/>
        </w:rPr>
        <w:t xml:space="preserve">(1) 从血常规体检指标、中老年人活动量表评分中，筛选出能有效表征痰湿体质严重程度、且能预警高血脂发病风险的关键指标；并研究九种体质对发病风险的贡献度差异。</w:t>
      </w:r>
    </w:p>
    <w:p>
      <w:pPr>
        <w:spacing w:after="0" w:before="0" w:line="360"/>
        <w:ind w:firstLine="480"/>
      </w:pPr>
      <w:r>
        <w:rPr>
          <w:rFonts w:ascii="宋体" w:cs="宋体" w:eastAsia="宋体" w:hAnsi="宋体"/>
          <w:sz w:val="24"/>
          <w:szCs w:val="24"/>
        </w:rPr>
        <w:t xml:space="preserve">(2) 构建融合多维度特征的风险预警模型，模型需输出高血脂症低、中、高三级风险，明确三级风险分别对应的特征分层阈值选取依据，识别痰湿体质高风险人群的核心特征组合。</w:t>
      </w:r>
    </w:p>
    <w:p>
      <w:pPr>
        <w:spacing w:after="0" w:before="0" w:line="360"/>
        <w:ind w:firstLine="480"/>
      </w:pPr>
      <w:r>
        <w:rPr>
          <w:rFonts w:ascii="宋体" w:cs="宋体" w:eastAsia="宋体" w:hAnsi="宋体"/>
          <w:sz w:val="24"/>
          <w:szCs w:val="24"/>
        </w:rPr>
        <w:t xml:space="preserve">(3) 针对确诊为"痰湿体质"的患者（附件数据中体质标签取值为5），结合中医调理原则与身体耐受度，考虑经济成本及有效降低痰湿积分的目标下，构建优化模型，给出不同患者特征的6个月干预方案。</w:t>
      </w:r>
    </w:p>
    <w:p>
      <w:pPr>
        <w:pageBreakBefore/>
        <w:spacing w:after="0" w:before="0" w:line="360"/>
        <w:jc w:val="center"/>
      </w:pPr>
      <w:r>
        <w:rPr>
          <w:rFonts w:ascii="黑体" w:cs="黑体" w:eastAsia="黑体" w:hAnsi="黑体"/>
          <w:b/>
          <w:bCs/>
          <w:sz w:val="32"/>
          <w:szCs w:val="32"/>
        </w:rPr>
        <w:t xml:space="preserve">二、问题分析</w:t>
      </w:r>
    </w:p>
    <w:p>
      <w:pPr>
        <w:spacing w:after="0" w:before="0" w:line="360"/>
      </w:pPr>
      <w:r>
        <w:rPr>
          <w:rFonts w:ascii="黑体" w:cs="黑体" w:eastAsia="黑体" w:hAnsi="黑体"/>
          <w:b/>
          <w:bCs/>
          <w:sz w:val="26"/>
          <w:szCs w:val="26"/>
        </w:rPr>
        <w:t xml:space="preserve">2.1 数据预处理</w:t>
      </w:r>
    </w:p>
    <w:p>
      <w:pPr>
        <w:spacing w:after="0" w:before="0" w:line="360"/>
        <w:ind w:firstLine="480"/>
      </w:pPr>
      <w:r>
        <w:rPr>
          <w:rFonts w:ascii="宋体" w:cs="宋体" w:eastAsia="宋体" w:hAnsi="宋体"/>
          <w:sz w:val="24"/>
          <w:szCs w:val="24"/>
        </w:rPr>
        <w:t xml:space="preserve">原始数据包含1000条样本、37个字段。首先进行列名标准化映射，将中文列名转换为英文标识符。检查缺失值后发现1000条记录完整无缺失。构造衍生特征：血脂四项异常标志（TC、TG、LDL-C、HDL-C各按临床参考范围判定）、异常计数、TC/HDL比值（动脉粥样硬化风险指标）、非HDL胆固醇、痰湿体质二元标志。最终得到33个建模特征。数据统计特征如表1所示。</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1400"/>
        <w:gridCol w:w="1400"/>
      </w:tblGrid>
      <w:tr>
        <w:tc>
          <w:tcPr>
            <w:tcW w:type="dxa" w:w="2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特征</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均值</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标准差</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最小值</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中位数</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最大值</w:t>
            </w:r>
          </w:p>
        </w:tc>
      </w:tr>
      <w:tr>
        <w:tc>
          <w:tcPr>
            <w:tcW w:type="dxa" w:w="2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痰湿质积分</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32.98</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20.13</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31</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65</w:t>
            </w:r>
          </w:p>
        </w:tc>
      </w:tr>
      <w:tr>
        <w:tc>
          <w:tcPr>
            <w:tcW w:type="dxa" w:w="2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总胆固醇TC</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5.78</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1.12</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2.85</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5.68</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9.45</w:t>
            </w:r>
          </w:p>
        </w:tc>
      </w:tr>
      <w:tr>
        <w:tc>
          <w:tcPr>
            <w:tcW w:type="dxa" w:w="2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甘油三酯TG</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1.92</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1.08</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0.32</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1.68</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7.85</w:t>
            </w:r>
          </w:p>
        </w:tc>
      </w:tr>
      <w:tr>
        <w:tc>
          <w:tcPr>
            <w:tcW w:type="dxa" w:w="2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LDL-C</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2.62</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0.72</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0.85</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2.58</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5.32</w:t>
            </w:r>
          </w:p>
        </w:tc>
      </w:tr>
      <w:tr>
        <w:tc>
          <w:tcPr>
            <w:tcW w:type="dxa" w:w="2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HDL-C</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1.35</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0.38</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0.52</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1.32</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2.58</w:t>
            </w:r>
          </w:p>
        </w:tc>
      </w:tr>
      <w:tr>
        <w:tc>
          <w:tcPr>
            <w:tcW w:type="dxa" w:w="2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活动量表总分</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49.71</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10.11</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21</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50</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77</w:t>
            </w:r>
          </w:p>
        </w:tc>
      </w:tr>
      <w:tr>
        <w:tc>
          <w:tcPr>
            <w:tcW w:type="dxa" w:w="2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BMI</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24.15</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3.42</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16.8</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23.8</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34.2</w:t>
            </w:r>
          </w:p>
        </w:tc>
      </w:tr>
      <w:tr>
        <w:tc>
          <w:tcPr>
            <w:tcW w:type="dxa" w:w="2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空腹血糖</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5.28</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1.35</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3.2</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5.1</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12.5</w:t>
            </w:r>
          </w:p>
        </w:tc>
      </w:tr>
    </w:tbl>
    <w:p>
      <w:pPr>
        <w:spacing w:after="0" w:before="0"/>
        <w:jc w:val="center"/>
      </w:pPr>
      <w:r>
        <w:rPr>
          <w:rFonts w:ascii="宋体" w:cs="宋体" w:eastAsia="宋体" w:hAnsi="宋体"/>
          <w:sz w:val="24"/>
          <w:szCs w:val="24"/>
        </w:rPr>
        <w:t xml:space="preserve">表1 主要特征描述性统计</w:t>
      </w:r>
    </w:p>
    <w:p>
      <w:pPr>
        <w:keepNext/>
        <w:keepLines/>
        <w:spacing w:after="0" w:before="0"/>
        <w:jc w:val="center"/>
      </w:pPr>
      <w:r>
        <w:drawing>
          <wp:inline distT="0" distB="0" distL="0" distR="0">
            <wp:extent cx="4000500" cy="2400300"/>
            <wp:effectExtent t="0" r="0" b="0" l="0"/>
            <wp:docPr id="1" name="1 指标相关性热图" descr="1 指标相关性热图" title="1 指标相关性热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400300"/>
                    </a:xfrm>
                    <a:prstGeom prst="rect">
                      <a:avLst/>
                    </a:prstGeom>
                  </pic:spPr>
                </pic:pic>
              </a:graphicData>
            </a:graphic>
          </wp:inline>
        </w:drawing>
      </w:r>
    </w:p>
    <w:p>
      <w:pPr>
        <w:keepLines/>
        <w:spacing w:after="0" w:before="0"/>
        <w:jc w:val="center"/>
      </w:pPr>
      <w:r>
        <w:rPr>
          <w:rFonts w:ascii="宋体" w:cs="宋体" w:eastAsia="宋体" w:hAnsi="宋体"/>
          <w:sz w:val="24"/>
          <w:szCs w:val="24"/>
        </w:rPr>
        <w:t xml:space="preserve">图1 指标相关性热图</w:t>
      </w:r>
    </w:p>
    <w:p>
      <w:pPr>
        <w:spacing w:after="0" w:before="0" w:line="360"/>
      </w:pPr>
      <w:r>
        <w:rPr>
          <w:rFonts w:ascii="黑体" w:cs="黑体" w:eastAsia="黑体" w:hAnsi="黑体"/>
          <w:b/>
          <w:bCs/>
          <w:sz w:val="26"/>
          <w:szCs w:val="26"/>
        </w:rPr>
        <w:t xml:space="preserve">2.2 问题一分析</w:t>
      </w:r>
    </w:p>
    <w:p>
      <w:pPr>
        <w:spacing w:after="0" w:before="0" w:line="360"/>
        <w:ind w:firstLine="480"/>
      </w:pPr>
      <w:r>
        <w:rPr>
          <w:rFonts w:ascii="宋体" w:cs="宋体" w:eastAsia="宋体" w:hAnsi="宋体"/>
          <w:sz w:val="24"/>
          <w:szCs w:val="24"/>
        </w:rPr>
        <w:t xml:space="preserve">问题一本质为特征选择问题。单一方法可能存在偏差，本文采用Spearman秩相关、LASSO回归、随机森林特征重要性、互信息法四种方法交叉验证。对痰湿质积分T采用连续型LASSO回归和回归型随机森林；对高血脂标签Y采用二分类LASSO逻辑回归和分类随机森林。综合筛选策略：被≥2种方法选中的特征确定为关键指标。</w:t>
      </w:r>
    </w:p>
    <w:p>
      <w:pPr>
        <w:spacing w:after="0" w:before="0" w:line="360"/>
        <w:ind w:firstLine="480"/>
      </w:pPr>
      <w:r>
        <w:rPr>
          <w:rFonts w:ascii="宋体" w:cs="宋体" w:eastAsia="宋体" w:hAnsi="宋体"/>
          <w:sz w:val="24"/>
          <w:szCs w:val="24"/>
        </w:rPr>
        <w:t xml:space="preserve">体质贡献度分析：构建多元Logistic回归模型，计算各体质优势比(OR值)，结合Kruskal-Wallis非参数检验评估各指标在不同体质间的差异显著性。</w:t>
      </w:r>
    </w:p>
    <w:p>
      <w:pPr>
        <w:spacing w:after="0" w:before="0" w:line="360"/>
      </w:pPr>
      <w:r>
        <w:rPr>
          <w:rFonts w:ascii="黑体" w:cs="黑体" w:eastAsia="黑体" w:hAnsi="黑体"/>
          <w:b/>
          <w:bCs/>
          <w:sz w:val="26"/>
          <w:szCs w:val="26"/>
        </w:rPr>
        <w:t xml:space="preserve">2.3 问题二分析</w:t>
      </w:r>
    </w:p>
    <w:p>
      <w:pPr>
        <w:spacing w:after="0" w:before="0" w:line="360"/>
        <w:ind w:firstLine="480"/>
      </w:pPr>
      <w:r>
        <w:rPr>
          <w:rFonts w:ascii="宋体" w:cs="宋体" w:eastAsia="宋体" w:hAnsi="宋体"/>
          <w:sz w:val="24"/>
          <w:szCs w:val="24"/>
        </w:rPr>
        <w:t xml:space="preserve">问题二要求构建三级风险预警模型。首先基于血脂异常程度、痰湿严重程度、活动能力构建综合风险评分公式，将1000例样本划分为低、中、高三级风险。然后采用GradientBoosting、随机森林、SVM、KNN、逻辑回归、决策树6种分类算法对比，5折分层交叉验证选择最优模型。通过决策树规则提取和SHAP特征贡献分析增强可解释性。</w:t>
      </w:r>
    </w:p>
    <w:p>
      <w:pPr>
        <w:spacing w:after="0" w:before="0" w:line="360"/>
        <w:ind w:firstLine="480"/>
      </w:pPr>
      <w:r>
        <w:rPr>
          <w:rFonts w:ascii="宋体" w:cs="宋体" w:eastAsia="宋体" w:hAnsi="宋体"/>
          <w:sz w:val="24"/>
          <w:szCs w:val="24"/>
        </w:rPr>
        <w:t xml:space="preserve">为验证中医体质维度价值，设计消融实验：全特征vs去中医体质vs纯西医指标三组对比。</w:t>
      </w:r>
    </w:p>
    <w:p>
      <w:pPr>
        <w:spacing w:after="0" w:before="0" w:line="360"/>
      </w:pPr>
      <w:r>
        <w:rPr>
          <w:rFonts w:ascii="黑体" w:cs="黑体" w:eastAsia="黑体" w:hAnsi="黑体"/>
          <w:b/>
          <w:bCs/>
          <w:sz w:val="26"/>
          <w:szCs w:val="26"/>
        </w:rPr>
        <w:t xml:space="preserve">2.4 问题三分析</w:t>
      </w:r>
    </w:p>
    <w:p>
      <w:pPr>
        <w:spacing w:after="0" w:before="0" w:line="360"/>
        <w:ind w:firstLine="480"/>
      </w:pPr>
      <w:r>
        <w:rPr>
          <w:rFonts w:ascii="宋体" w:cs="宋体" w:eastAsia="宋体" w:hAnsi="宋体"/>
          <w:sz w:val="24"/>
          <w:szCs w:val="24"/>
        </w:rPr>
        <w:t xml:space="preserve">问题三是多目标优化问题。决策变量为调理级别L∈{1,2,3}、活动强度K∈{1,2,3}、周频次n∈{1,...,10}。约束包括：调理分级约束（按痰湿积分区间匹配）、活动强度约束（年龄+评分双重约束）、成本约束（≤2000元/6月）、频率约束（1-10次/周）。采用枚举法获取全部可行方案，提取Pareto最优解集，通过AHP层次分析确定多目标权重。每月下降率模型：r=3%×K+max(0,n-5)×1%。6个月累计：ΔT=T_0·[1-(1-r)^6]。</w:t>
      </w:r>
    </w:p>
    <w:p>
      <w:pPr>
        <w:pageBreakBefore/>
        <w:spacing w:after="0" w:before="0" w:line="360"/>
        <w:jc w:val="center"/>
      </w:pPr>
      <w:r>
        <w:rPr>
          <w:rFonts w:ascii="黑体" w:cs="黑体" w:eastAsia="黑体" w:hAnsi="黑体"/>
          <w:b/>
          <w:bCs/>
          <w:sz w:val="32"/>
          <w:szCs w:val="32"/>
        </w:rPr>
        <w:t xml:space="preserve">三、模型假设</w:t>
      </w:r>
    </w:p>
    <w:p>
      <w:pPr>
        <w:spacing w:after="0" w:before="0" w:line="360"/>
        <w:ind w:firstLine="480"/>
      </w:pPr>
      <w:r>
        <w:rPr>
          <w:rFonts w:ascii="宋体" w:cs="宋体" w:eastAsia="宋体" w:hAnsi="宋体"/>
          <w:sz w:val="24"/>
          <w:szCs w:val="24"/>
        </w:rPr>
        <w:t xml:space="preserve">(1) 附件提供的1000例数据具有代表性，能够反映中老年人群的整体特征分布，样本无系统性偏差。</w:t>
      </w:r>
    </w:p>
    <w:p>
      <w:pPr>
        <w:spacing w:after="0" w:before="0" w:line="360"/>
        <w:ind w:firstLine="480"/>
      </w:pPr>
      <w:r>
        <w:rPr>
          <w:rFonts w:ascii="宋体" w:cs="宋体" w:eastAsia="宋体" w:hAnsi="宋体"/>
          <w:sz w:val="24"/>
          <w:szCs w:val="24"/>
        </w:rPr>
        <w:t xml:space="preserve">(2) 中医体质积分采用标准化评分体系，分值越高表示该体质特征越显著，评分结果具有可靠性和一致性。</w:t>
      </w:r>
    </w:p>
    <w:p>
      <w:pPr>
        <w:spacing w:after="0" w:before="0" w:line="360"/>
        <w:ind w:firstLine="480"/>
      </w:pPr>
      <w:r>
        <w:rPr>
          <w:rFonts w:ascii="宋体" w:cs="宋体" w:eastAsia="宋体" w:hAnsi="宋体"/>
          <w:sz w:val="24"/>
          <w:szCs w:val="24"/>
        </w:rPr>
        <w:t xml:space="preserve">(3) 活动干预对痰湿积分的影响遵循题目给出的线性衰减模型，即每月下降率与活动强度级别和训练频次呈线性关系。</w:t>
      </w:r>
    </w:p>
    <w:p>
      <w:pPr>
        <w:spacing w:after="0" w:before="0" w:line="360"/>
        <w:ind w:firstLine="480"/>
      </w:pPr>
      <w:r>
        <w:rPr>
          <w:rFonts w:ascii="宋体" w:cs="宋体" w:eastAsia="宋体" w:hAnsi="宋体"/>
          <w:sz w:val="24"/>
          <w:szCs w:val="24"/>
        </w:rPr>
        <w:t xml:space="preserve">(4) 调理分级与活动强度的选择严格遵循附表2、附表3中规定的约束条件，患者依从性良好。</w:t>
      </w:r>
    </w:p>
    <w:p>
      <w:pPr>
        <w:spacing w:after="0" w:before="0" w:line="360"/>
        <w:ind w:firstLine="480"/>
      </w:pPr>
      <w:r>
        <w:rPr>
          <w:rFonts w:ascii="宋体" w:cs="宋体" w:eastAsia="宋体" w:hAnsi="宋体"/>
          <w:sz w:val="24"/>
          <w:szCs w:val="24"/>
        </w:rPr>
        <w:t xml:space="preserve">(5) 每月按4周计算，6个月按24周计算，时间周期固定。</w:t>
      </w:r>
    </w:p>
    <w:p>
      <w:pPr>
        <w:spacing w:after="0" w:before="0" w:line="360"/>
        <w:ind w:firstLine="480"/>
      </w:pPr>
      <w:r>
        <w:rPr>
          <w:rFonts w:ascii="宋体" w:cs="宋体" w:eastAsia="宋体" w:hAnsi="宋体"/>
          <w:sz w:val="24"/>
          <w:szCs w:val="24"/>
        </w:rPr>
        <w:t xml:space="preserve">(6) 忽略个体对干预措施的依从性差异和遗传因素影响。</w:t>
      </w:r>
    </w:p>
    <w:p>
      <w:pPr>
        <w:spacing w:after="0" w:before="0" w:line="360"/>
        <w:ind w:firstLine="480"/>
      </w:pPr>
      <w:r>
        <w:rPr>
          <w:rFonts w:ascii="宋体" w:cs="宋体" w:eastAsia="宋体" w:hAnsi="宋体"/>
          <w:sz w:val="24"/>
          <w:szCs w:val="24"/>
        </w:rPr>
        <w:t xml:space="preserve">(7) 痰湿积分下降率在各月保持恒定，不考虑平台期或加速期。</w:t>
      </w:r>
    </w:p>
    <w:p>
      <w:pPr>
        <w:spacing w:after="0" w:before="0" w:line="360"/>
        <w:ind w:firstLine="480"/>
      </w:pPr>
      <w:r>
        <w:rPr>
          <w:rFonts w:ascii="宋体" w:cs="宋体" w:eastAsia="宋体" w:hAnsi="宋体"/>
          <w:sz w:val="24"/>
          <w:szCs w:val="24"/>
        </w:rPr>
        <w:t xml:space="preserve">(8) 不同干预措施之间不存在协同或拮抗效应，各措施效果独立叠加。</w:t>
      </w:r>
    </w:p>
    <w:p>
      <w:pPr>
        <w:spacing w:after="0" w:before="0" w:line="360"/>
        <w:ind w:firstLine="480"/>
      </w:pPr>
      <w:r>
        <w:rPr>
          <w:rFonts w:ascii="宋体" w:cs="宋体" w:eastAsia="宋体" w:hAnsi="宋体"/>
          <w:sz w:val="24"/>
          <w:szCs w:val="24"/>
        </w:rPr>
        <w:t xml:space="preserve">(9) 各样本之间相互独立，不存在群体效应或交叉影响。</w:t>
      </w:r>
    </w:p>
    <w:p>
      <w:pPr>
        <w:pageBreakBefore/>
        <w:spacing w:after="0" w:before="0" w:line="360"/>
        <w:jc w:val="center"/>
      </w:pPr>
      <w:r>
        <w:rPr>
          <w:rFonts w:ascii="黑体" w:cs="黑体" w:eastAsia="黑体" w:hAnsi="黑体"/>
          <w:b/>
          <w:bCs/>
          <w:sz w:val="32"/>
          <w:szCs w:val="32"/>
        </w:rPr>
        <w:t xml:space="preserve">四、符号说明</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2200"/>
      </w:tblGrid>
      <w:tr>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符号</w:t>
            </w:r>
          </w:p>
        </w:tc>
        <w:tc>
          <w:tcPr>
            <w:tcW w:type="dxa" w:w="3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含义</w:t>
            </w:r>
          </w:p>
        </w:tc>
        <w:tc>
          <w:tcPr>
            <w:tcW w:type="dxa" w:w="2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单位</w:t>
            </w:r>
          </w:p>
        </w:tc>
      </w:tr>
      <w:tr>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T</w:t>
            </w:r>
          </w:p>
        </w:tc>
        <w:tc>
          <w:tcPr>
            <w:tcW w:type="dxa" w:w="3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痰湿质积分</w:t>
            </w:r>
          </w:p>
        </w:tc>
        <w:tc>
          <w:tcPr>
            <w:tcW w:type="dxa" w:w="2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分（0-100）</w:t>
            </w:r>
          </w:p>
        </w:tc>
      </w:tr>
      <w:tr>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N_abn</w:t>
            </w:r>
          </w:p>
        </w:tc>
        <w:tc>
          <w:tcPr>
            <w:tcW w:type="dxa" w:w="3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血脂异常项数</w:t>
            </w:r>
          </w:p>
        </w:tc>
        <w:tc>
          <w:tcPr>
            <w:tcW w:type="dxa" w:w="2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项（0-4）</w:t>
            </w:r>
          </w:p>
        </w:tc>
      </w:tr>
      <w:tr>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A</w:t>
            </w:r>
          </w:p>
        </w:tc>
        <w:tc>
          <w:tcPr>
            <w:tcW w:type="dxa" w:w="3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活动量表总分</w:t>
            </w:r>
          </w:p>
        </w:tc>
        <w:tc>
          <w:tcPr>
            <w:tcW w:type="dxa" w:w="2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分（0-100）</w:t>
            </w:r>
          </w:p>
        </w:tc>
      </w:tr>
      <w:tr>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TC</w:t>
            </w:r>
          </w:p>
        </w:tc>
        <w:tc>
          <w:tcPr>
            <w:tcW w:type="dxa" w:w="3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总胆固醇</w:t>
            </w:r>
          </w:p>
        </w:tc>
        <w:tc>
          <w:tcPr>
            <w:tcW w:type="dxa" w:w="2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mmol/L</w:t>
            </w:r>
          </w:p>
        </w:tc>
      </w:tr>
      <w:tr>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TG</w:t>
            </w:r>
          </w:p>
        </w:tc>
        <w:tc>
          <w:tcPr>
            <w:tcW w:type="dxa" w:w="3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甘油三酯</w:t>
            </w:r>
          </w:p>
        </w:tc>
        <w:tc>
          <w:tcPr>
            <w:tcW w:type="dxa" w:w="2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mmol/L</w:t>
            </w:r>
          </w:p>
        </w:tc>
      </w:tr>
      <w:tr>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LDL-C</w:t>
            </w:r>
          </w:p>
        </w:tc>
        <w:tc>
          <w:tcPr>
            <w:tcW w:type="dxa" w:w="3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低密度脂蛋白胆固醇</w:t>
            </w:r>
          </w:p>
        </w:tc>
        <w:tc>
          <w:tcPr>
            <w:tcW w:type="dxa" w:w="2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mmol/L</w:t>
            </w:r>
          </w:p>
        </w:tc>
      </w:tr>
      <w:tr>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HDL-C</w:t>
            </w:r>
          </w:p>
        </w:tc>
        <w:tc>
          <w:tcPr>
            <w:tcW w:type="dxa" w:w="3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高密度脂蛋白胆固醇</w:t>
            </w:r>
          </w:p>
        </w:tc>
        <w:tc>
          <w:tcPr>
            <w:tcW w:type="dxa" w:w="2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mmol/L</w:t>
            </w:r>
          </w:p>
        </w:tc>
      </w:tr>
      <w:tr>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G</w:t>
            </w:r>
          </w:p>
        </w:tc>
        <w:tc>
          <w:tcPr>
            <w:tcW w:type="dxa" w:w="3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空腹血糖</w:t>
            </w:r>
          </w:p>
        </w:tc>
        <w:tc>
          <w:tcPr>
            <w:tcW w:type="dxa" w:w="2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mmol/L</w:t>
            </w:r>
          </w:p>
        </w:tc>
      </w:tr>
      <w:tr>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UA</w:t>
            </w:r>
          </w:p>
        </w:tc>
        <w:tc>
          <w:tcPr>
            <w:tcW w:type="dxa" w:w="3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血尿酸</w:t>
            </w:r>
          </w:p>
        </w:tc>
        <w:tc>
          <w:tcPr>
            <w:tcW w:type="dxa" w:w="2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μmol/L</w:t>
            </w:r>
          </w:p>
        </w:tc>
      </w:tr>
      <w:tr>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BMI</w:t>
            </w:r>
          </w:p>
        </w:tc>
        <w:tc>
          <w:tcPr>
            <w:tcW w:type="dxa" w:w="3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身体质量指数</w:t>
            </w:r>
          </w:p>
        </w:tc>
        <w:tc>
          <w:tcPr>
            <w:tcW w:type="dxa" w:w="2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kg/m²</w:t>
            </w:r>
          </w:p>
        </w:tc>
      </w:tr>
      <w:tr>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S</w:t>
            </w:r>
          </w:p>
        </w:tc>
        <w:tc>
          <w:tcPr>
            <w:tcW w:type="dxa" w:w="3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风险评分</w:t>
            </w:r>
          </w:p>
        </w:tc>
        <w:tc>
          <w:tcPr>
            <w:tcW w:type="dxa" w:w="2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分</w:t>
            </w:r>
          </w:p>
        </w:tc>
      </w:tr>
      <w:tr>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L</w:t>
            </w:r>
          </w:p>
        </w:tc>
        <w:tc>
          <w:tcPr>
            <w:tcW w:type="dxa" w:w="3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调理级别</w:t>
            </w:r>
          </w:p>
        </w:tc>
        <w:tc>
          <w:tcPr>
            <w:tcW w:type="dxa" w:w="2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1/2/3</w:t>
            </w:r>
          </w:p>
        </w:tc>
      </w:tr>
      <w:tr>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K</w:t>
            </w:r>
          </w:p>
        </w:tc>
        <w:tc>
          <w:tcPr>
            <w:tcW w:type="dxa" w:w="3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活动强度级别</w:t>
            </w:r>
          </w:p>
        </w:tc>
        <w:tc>
          <w:tcPr>
            <w:tcW w:type="dxa" w:w="2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1/2/3</w:t>
            </w:r>
          </w:p>
        </w:tc>
      </w:tr>
      <w:tr>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n</w:t>
            </w:r>
          </w:p>
        </w:tc>
        <w:tc>
          <w:tcPr>
            <w:tcW w:type="dxa" w:w="3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每周训练频次</w:t>
            </w:r>
          </w:p>
        </w:tc>
        <w:tc>
          <w:tcPr>
            <w:tcW w:type="dxa" w:w="2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次/周</w:t>
            </w:r>
          </w:p>
        </w:tc>
      </w:tr>
      <w:tr>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r</w:t>
            </w:r>
          </w:p>
        </w:tc>
        <w:tc>
          <w:tcPr>
            <w:tcW w:type="dxa" w:w="3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每月痰湿积分下降率</w:t>
            </w:r>
          </w:p>
        </w:tc>
        <w:tc>
          <w:tcPr>
            <w:tcW w:type="dxa" w:w="2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w:t>
            </w:r>
          </w:p>
        </w:tc>
      </w:tr>
      <w:tr>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C_total</w:t>
            </w:r>
          </w:p>
        </w:tc>
        <w:tc>
          <w:tcPr>
            <w:tcW w:type="dxa" w:w="3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6个月总成本</w:t>
            </w:r>
          </w:p>
        </w:tc>
        <w:tc>
          <w:tcPr>
            <w:tcW w:type="dxa" w:w="2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元</w:t>
            </w:r>
          </w:p>
        </w:tc>
      </w:tr>
      <w:tr>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λ</w:t>
            </w:r>
          </w:p>
        </w:tc>
        <w:tc>
          <w:tcPr>
            <w:tcW w:type="dxa" w:w="3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成本-效果权衡参数</w:t>
            </w:r>
          </w:p>
        </w:tc>
        <w:tc>
          <w:tcPr>
            <w:tcW w:type="dxa" w:w="2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元/分</w:t>
            </w:r>
          </w:p>
        </w:tc>
      </w:tr>
      <w:tr>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ΔT</w:t>
            </w:r>
          </w:p>
        </w:tc>
        <w:tc>
          <w:tcPr>
            <w:tcW w:type="dxa" w:w="3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6个月痰湿积分下降量</w:t>
            </w:r>
          </w:p>
        </w:tc>
        <w:tc>
          <w:tcPr>
            <w:tcW w:type="dxa" w:w="2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分</w:t>
            </w:r>
          </w:p>
        </w:tc>
      </w:tr>
      <w:tr>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OR</w:t>
            </w:r>
          </w:p>
        </w:tc>
        <w:tc>
          <w:tcPr>
            <w:tcW w:type="dxa" w:w="3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优势比(Odds Ratio)</w:t>
            </w:r>
          </w:p>
        </w:tc>
        <w:tc>
          <w:tcPr>
            <w:tcW w:type="dxa" w:w="2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w:t>
            </w:r>
          </w:p>
        </w:tc>
      </w:tr>
      <w:tr>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AUC</w:t>
            </w:r>
          </w:p>
        </w:tc>
        <w:tc>
          <w:tcPr>
            <w:tcW w:type="dxa" w:w="3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ROC曲线下面积</w:t>
            </w:r>
          </w:p>
        </w:tc>
        <w:tc>
          <w:tcPr>
            <w:tcW w:type="dxa" w:w="2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w:t>
            </w:r>
          </w:p>
        </w:tc>
      </w:tr>
      <w:tr>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MI</w:t>
            </w:r>
          </w:p>
        </w:tc>
        <w:tc>
          <w:tcPr>
            <w:tcW w:type="dxa" w:w="3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互信息(Mutual Information)</w:t>
            </w:r>
          </w:p>
        </w:tc>
        <w:tc>
          <w:tcPr>
            <w:tcW w:type="dxa" w:w="2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bit</w:t>
            </w:r>
          </w:p>
        </w:tc>
      </w:tr>
      <w:tr>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CR</w:t>
            </w:r>
          </w:p>
        </w:tc>
        <w:tc>
          <w:tcPr>
            <w:tcW w:type="dxa" w:w="3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一致性比率(Consistency Ratio)</w:t>
            </w:r>
          </w:p>
        </w:tc>
        <w:tc>
          <w:tcPr>
            <w:tcW w:type="dxa" w:w="2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w:t>
            </w:r>
          </w:p>
        </w:tc>
      </w:tr>
    </w:tbl>
    <w:p>
      <w:pPr>
        <w:pageBreakBefore/>
        <w:spacing w:after="0" w:before="0" w:line="360"/>
        <w:jc w:val="center"/>
      </w:pPr>
      <w:r>
        <w:rPr>
          <w:rFonts w:ascii="黑体" w:cs="黑体" w:eastAsia="黑体" w:hAnsi="黑体"/>
          <w:b/>
          <w:bCs/>
          <w:sz w:val="32"/>
          <w:szCs w:val="32"/>
        </w:rPr>
        <w:t xml:space="preserve">五、模型的建立与求解</w:t>
      </w:r>
    </w:p>
    <w:p>
      <w:pPr>
        <w:spacing w:after="0" w:before="0" w:line="360"/>
      </w:pPr>
      <w:r>
        <w:rPr>
          <w:rFonts w:ascii="黑体" w:cs="黑体" w:eastAsia="黑体" w:hAnsi="黑体"/>
          <w:b/>
          <w:bCs/>
          <w:sz w:val="26"/>
          <w:szCs w:val="26"/>
        </w:rPr>
        <w:t xml:space="preserve">5.1 问题一：关键指标筛选与体质贡献度</w:t>
      </w:r>
    </w:p>
    <w:p>
      <w:pPr>
        <w:spacing w:after="0" w:before="0" w:line="360"/>
      </w:pPr>
      <w:r>
        <w:rPr>
          <w:rFonts w:ascii="黑体" w:cs="黑体" w:eastAsia="黑体" w:hAnsi="黑体"/>
          <w:b/>
          <w:bCs/>
          <w:sz w:val="24"/>
          <w:szCs w:val="24"/>
        </w:rPr>
        <w:t xml:space="preserve">5.1.1 Spearman秩相关分析</w:t>
      </w:r>
    </w:p>
    <w:p>
      <w:pPr>
        <w:spacing w:after="0" w:before="0" w:line="360"/>
        <w:ind w:firstLine="480"/>
      </w:pPr>
      <w:r>
        <w:rPr>
          <w:rFonts w:ascii="宋体" w:cs="宋体" w:eastAsia="宋体" w:hAnsi="宋体"/>
          <w:sz w:val="24"/>
          <w:szCs w:val="24"/>
        </w:rPr>
        <w:t xml:space="preserve">设数据集中有n=1000个样本，p个候选特征。对特征X_j与痰湿质积分T，Spearman秩相关系数定义为：</w:t>
      </w:r>
    </w:p>
    <w:p>
      <w:pPr>
        <w:spacing w:after="0" w:before="0" w:line="360"/>
        <w:jc w:val="center"/>
      </w:pPr>
      <w:r>
        <w:rPr>
          <w:rFonts w:ascii="宋体" w:cs="宋体" w:eastAsia="宋体" w:hAnsi="宋体"/>
          <w:i/>
          <w:iCs/>
          <w:sz w:val="24"/>
          <w:szCs w:val="24"/>
        </w:rPr>
        <w:t xml:space="preserve">ρ_s(X_j, T) = 1 - 6Σ(R_ij - R_iT)² / [n(n²-1)]    (1)</w:t>
      </w:r>
    </w:p>
    <w:p>
      <w:pPr>
        <w:spacing w:after="0" w:before="0" w:line="360"/>
        <w:ind w:firstLine="480"/>
      </w:pPr>
      <w:r>
        <w:rPr>
          <w:rFonts w:ascii="宋体" w:cs="宋体" w:eastAsia="宋体" w:hAnsi="宋体"/>
          <w:sz w:val="24"/>
          <w:szCs w:val="24"/>
        </w:rPr>
        <w:t xml:space="preserve">其中R_ij和R_iT分别为X_ij和T_i的秩次。选择|ρ_s|&gt;0.05且p&lt;0.05的特征。对高血脂标签Y同样计算Spearman秩相关系数。</w:t>
      </w:r>
    </w:p>
    <w:p>
      <w:pPr>
        <w:spacing w:after="0" w:before="0" w:line="360"/>
      </w:pPr>
      <w:r>
        <w:rPr>
          <w:rFonts w:ascii="黑体" w:cs="黑体" w:eastAsia="黑体" w:hAnsi="黑体"/>
          <w:b/>
          <w:bCs/>
          <w:sz w:val="24"/>
          <w:szCs w:val="24"/>
        </w:rPr>
        <w:t xml:space="preserve">5.1.2 LASSO回归</w:t>
      </w:r>
    </w:p>
    <w:p>
      <w:pPr>
        <w:spacing w:after="0" w:before="0" w:line="360"/>
        <w:ind w:firstLine="480"/>
      </w:pPr>
      <w:r>
        <w:rPr>
          <w:rFonts w:ascii="宋体" w:cs="宋体" w:eastAsia="宋体" w:hAnsi="宋体"/>
          <w:sz w:val="24"/>
          <w:szCs w:val="24"/>
        </w:rPr>
        <w:t xml:space="preserve">对痰湿质积分（连续型），构建LASSO回归模型：</w:t>
      </w:r>
    </w:p>
    <w:p>
      <w:pPr>
        <w:spacing w:after="0" w:before="0" w:line="360"/>
        <w:jc w:val="center"/>
      </w:pPr>
      <w:r>
        <w:rPr>
          <w:rFonts w:ascii="宋体" w:cs="宋体" w:eastAsia="宋体" w:hAnsi="宋体"/>
          <w:i/>
          <w:iCs/>
          <w:sz w:val="24"/>
          <w:szCs w:val="24"/>
        </w:rPr>
        <w:t xml:space="preserve">min_β { (1/2n)||T - Xβ||² + α||β||₁ }    (2)</w:t>
      </w:r>
    </w:p>
    <w:p>
      <w:pPr>
        <w:spacing w:after="0" w:before="0" w:line="360"/>
        <w:ind w:firstLine="480"/>
      </w:pPr>
      <w:r>
        <w:rPr>
          <w:rFonts w:ascii="宋体" w:cs="宋体" w:eastAsia="宋体" w:hAnsi="宋体"/>
          <w:sz w:val="24"/>
          <w:szCs w:val="24"/>
        </w:rPr>
        <w:t xml:space="preserve">其中α=0.05为正则化参数，非零系数对应的特征即为选定特征。对高血脂标签（二分类），构建LASSO逻辑回归：</w:t>
      </w:r>
    </w:p>
    <w:p>
      <w:pPr>
        <w:spacing w:after="0" w:before="0" w:line="360"/>
        <w:jc w:val="center"/>
      </w:pPr>
      <w:r>
        <w:rPr>
          <w:rFonts w:ascii="宋体" w:cs="宋体" w:eastAsia="宋体" w:hAnsi="宋体"/>
          <w:i/>
          <w:iCs/>
          <w:sz w:val="24"/>
          <w:szCs w:val="24"/>
        </w:rPr>
        <w:t xml:space="preserve">min_β { -(1/n)Σ[y_i·log p_i + (1-y_i)·log(1-p_i)] + α||β||₁ }    (3)</w:t>
      </w:r>
    </w:p>
    <w:p>
      <w:pPr>
        <w:spacing w:after="0" w:before="0" w:line="360"/>
        <w:ind w:firstLine="480"/>
      </w:pPr>
      <w:r>
        <w:rPr>
          <w:rFonts w:ascii="宋体" w:cs="宋体" w:eastAsia="宋体" w:hAnsi="宋体"/>
          <w:sz w:val="24"/>
          <w:szCs w:val="24"/>
        </w:rPr>
        <w:t xml:space="preserve">其中p_i=1/(1+exp(-x_i^T·β))，α=0.1。</w:t>
      </w:r>
    </w:p>
    <w:p>
      <w:pPr>
        <w:spacing w:after="0" w:before="0" w:line="360"/>
      </w:pPr>
      <w:r>
        <w:rPr>
          <w:rFonts w:ascii="黑体" w:cs="黑体" w:eastAsia="黑体" w:hAnsi="黑体"/>
          <w:b/>
          <w:bCs/>
          <w:sz w:val="24"/>
          <w:szCs w:val="24"/>
        </w:rPr>
        <w:t xml:space="preserve">5.1.3 随机森林特征重要性</w:t>
      </w:r>
    </w:p>
    <w:p>
      <w:pPr>
        <w:spacing w:after="0" w:before="0" w:line="360"/>
        <w:ind w:firstLine="480"/>
      </w:pPr>
      <w:r>
        <w:rPr>
          <w:rFonts w:ascii="宋体" w:cs="宋体" w:eastAsia="宋体" w:hAnsi="宋体"/>
          <w:sz w:val="24"/>
          <w:szCs w:val="24"/>
        </w:rPr>
        <w:t xml:space="preserve">随机森林通过计算每个特征在所有决策树中分裂时带来的基尼不纯度减少量的平均值评估重要性：</w:t>
      </w:r>
    </w:p>
    <w:p>
      <w:pPr>
        <w:spacing w:after="0" w:before="0" w:line="360"/>
        <w:jc w:val="center"/>
      </w:pPr>
      <w:r>
        <w:rPr>
          <w:rFonts w:ascii="宋体" w:cs="宋体" w:eastAsia="宋体" w:hAnsi="宋体"/>
          <w:i/>
          <w:iCs/>
          <w:sz w:val="24"/>
          <w:szCs w:val="24"/>
        </w:rPr>
        <w:t xml:space="preserve">I(X_j) = (1/M) Σ_m Σ_t∈nodes(X_j) ΔGini(t)    (4)</w:t>
      </w:r>
    </w:p>
    <w:p>
      <w:pPr>
        <w:spacing w:after="0" w:before="0" w:line="360"/>
        <w:ind w:firstLine="480"/>
      </w:pPr>
      <w:r>
        <w:rPr>
          <w:rFonts w:ascii="宋体" w:cs="宋体" w:eastAsia="宋体" w:hAnsi="宋体"/>
          <w:sz w:val="24"/>
          <w:szCs w:val="24"/>
        </w:rPr>
        <w:t xml:space="preserve">其中M=200为决策树数量，选择重要性排名前10的特征。基尼不纯度定义为Gini=1-Σp_k²。</w:t>
      </w:r>
    </w:p>
    <w:p>
      <w:pPr>
        <w:spacing w:after="0" w:before="0" w:line="360"/>
      </w:pPr>
      <w:r>
        <w:rPr>
          <w:rFonts w:ascii="黑体" w:cs="黑体" w:eastAsia="黑体" w:hAnsi="黑体"/>
          <w:b/>
          <w:bCs/>
          <w:sz w:val="24"/>
          <w:szCs w:val="24"/>
        </w:rPr>
        <w:t xml:space="preserve">5.1.4 互信息法</w:t>
      </w:r>
    </w:p>
    <w:p>
      <w:pPr>
        <w:spacing w:after="0" w:before="0" w:line="360"/>
        <w:jc w:val="center"/>
      </w:pPr>
      <w:r>
        <w:rPr>
          <w:rFonts w:ascii="宋体" w:cs="宋体" w:eastAsia="宋体" w:hAnsi="宋体"/>
          <w:i/>
          <w:iCs/>
          <w:sz w:val="24"/>
          <w:szCs w:val="24"/>
        </w:rPr>
        <w:t xml:space="preserve">MI(X_j; Y) = Σ_x Σ_y p(x,y)·log[p(x,y)/(p(x)p(y))]    (5)</w:t>
      </w:r>
    </w:p>
    <w:p>
      <w:pPr>
        <w:spacing w:after="0" w:before="0" w:line="360"/>
        <w:ind w:firstLine="480"/>
      </w:pPr>
      <w:r>
        <w:rPr>
          <w:rFonts w:ascii="宋体" w:cs="宋体" w:eastAsia="宋体" w:hAnsi="宋体"/>
          <w:sz w:val="24"/>
          <w:szCs w:val="24"/>
        </w:rPr>
        <w:t xml:space="preserve">选择互信息值排名前10的特征。综合筛选策略：采用投票机制，被≥2种方法选中的特征确定为关键指标。</w:t>
      </w:r>
    </w:p>
    <w:p>
      <w:pPr>
        <w:spacing w:after="0" w:before="0" w:line="360"/>
      </w:pPr>
      <w:r>
        <w:rPr>
          <w:rFonts w:ascii="黑体" w:cs="黑体" w:eastAsia="黑体" w:hAnsi="黑体"/>
          <w:b/>
          <w:bCs/>
          <w:sz w:val="24"/>
          <w:szCs w:val="24"/>
        </w:rPr>
        <w:t xml:space="preserve">5.1.5 体质贡献度分析</w:t>
      </w:r>
    </w:p>
    <w:p>
      <w:pPr>
        <w:spacing w:after="0" w:before="0" w:line="360"/>
        <w:ind w:firstLine="480"/>
      </w:pPr>
      <w:r>
        <w:rPr>
          <w:rFonts w:ascii="宋体" w:cs="宋体" w:eastAsia="宋体" w:hAnsi="宋体"/>
          <w:sz w:val="24"/>
          <w:szCs w:val="24"/>
        </w:rPr>
        <w:t xml:space="preserve">对九种体质类型，构建多元Logistic回归模型：</w:t>
      </w:r>
    </w:p>
    <w:p>
      <w:pPr>
        <w:spacing w:after="0" w:before="0" w:line="360"/>
        <w:jc w:val="center"/>
      </w:pPr>
      <w:r>
        <w:rPr>
          <w:rFonts w:ascii="宋体" w:cs="宋体" w:eastAsia="宋体" w:hAnsi="宋体"/>
          <w:i/>
          <w:iCs/>
          <w:sz w:val="24"/>
          <w:szCs w:val="24"/>
        </w:rPr>
        <w:t xml:space="preserve">log[P(Y=1|X)/P(Y=0|X)] = β_0 + Σ_k β_k·I(体质=k) + Σ_j γ_j·X_j    (6)</w:t>
      </w:r>
    </w:p>
    <w:p>
      <w:pPr>
        <w:spacing w:after="0" w:before="0" w:line="360"/>
        <w:ind w:firstLine="480"/>
      </w:pPr>
      <w:r>
        <w:rPr>
          <w:rFonts w:ascii="宋体" w:cs="宋体" w:eastAsia="宋体" w:hAnsi="宋体"/>
          <w:sz w:val="24"/>
          <w:szCs w:val="24"/>
        </w:rPr>
        <w:t xml:space="preserve">各体质的优势比OR_k=exp(β_k)，OR&gt;1表示增加发病风险，OR&lt;1表示降低风险。同时采用Kruskal-Wallis非参数检验：</w:t>
      </w:r>
    </w:p>
    <w:p>
      <w:pPr>
        <w:spacing w:after="0" w:before="0" w:line="360"/>
        <w:jc w:val="center"/>
      </w:pPr>
      <w:r>
        <w:rPr>
          <w:rFonts w:ascii="宋体" w:cs="宋体" w:eastAsia="宋体" w:hAnsi="宋体"/>
          <w:i/>
          <w:iCs/>
          <w:sz w:val="24"/>
          <w:szCs w:val="24"/>
        </w:rPr>
        <w:t xml:space="preserve">H = (12/N(N+1)) Σ(R_i²/n_i) - 3(N+1)    (7)</w:t>
      </w:r>
    </w:p>
    <w:p>
      <w:pPr>
        <w:spacing w:after="0" w:before="0" w:line="360"/>
      </w:pPr>
      <w:r>
        <w:rPr>
          <w:rFonts w:ascii="黑体" w:cs="黑体" w:eastAsia="黑体" w:hAnsi="黑体"/>
          <w:b/>
          <w:bCs/>
          <w:sz w:val="24"/>
          <w:szCs w:val="24"/>
        </w:rPr>
        <w:t xml:space="preserve">5.1.6 结果分析</w:t>
      </w:r>
    </w:p>
    <w:p>
      <w:pPr>
        <w:spacing w:after="0" w:before="0" w:line="360"/>
        <w:ind w:firstLine="480"/>
      </w:pPr>
      <w:r>
        <w:rPr>
          <w:rFonts w:ascii="宋体" w:cs="宋体" w:eastAsia="宋体" w:hAnsi="宋体"/>
          <w:sz w:val="24"/>
          <w:szCs w:val="24"/>
        </w:rPr>
        <w:t xml:space="preserve">表征痰湿体质严重程度的关键指标筛选结果如表2所示。</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1600"/>
        <w:gridCol w:w="2600"/>
      </w:tblGrid>
      <w:tr>
        <w:tc>
          <w:tcPr>
            <w:tcW w:type="dxa" w:w="1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排名</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指标</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选中方法数</w:t>
            </w:r>
          </w:p>
        </w:tc>
        <w:tc>
          <w:tcPr>
            <w:tcW w:type="dxa" w:w="2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临床意义</w:t>
            </w:r>
          </w:p>
        </w:tc>
      </w:tr>
      <w:tr>
        <w:tc>
          <w:tcPr>
            <w:tcW w:type="dxa" w:w="1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ADL进食评分</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3/4</w:t>
            </w:r>
          </w:p>
        </w:tc>
        <w:tc>
          <w:tcPr>
            <w:tcW w:type="dxa" w:w="2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脾胃运化功能</w:t>
            </w:r>
          </w:p>
        </w:tc>
      </w:tr>
      <w:tr>
        <w:tc>
          <w:tcPr>
            <w:tcW w:type="dxa" w:w="1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2</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BMI</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3/4</w:t>
            </w:r>
          </w:p>
        </w:tc>
        <w:tc>
          <w:tcPr>
            <w:tcW w:type="dxa" w:w="2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体质量指数</w:t>
            </w:r>
          </w:p>
        </w:tc>
      </w:tr>
      <w:tr>
        <w:tc>
          <w:tcPr>
            <w:tcW w:type="dxa" w:w="1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3</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非HDL胆固醇</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2/4</w:t>
            </w:r>
          </w:p>
        </w:tc>
        <w:tc>
          <w:tcPr>
            <w:tcW w:type="dxa" w:w="2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动脉粥样硬化风险</w:t>
            </w:r>
          </w:p>
        </w:tc>
      </w:tr>
      <w:tr>
        <w:tc>
          <w:tcPr>
            <w:tcW w:type="dxa" w:w="1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4</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IADL购物</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2/4</w:t>
            </w:r>
          </w:p>
        </w:tc>
        <w:tc>
          <w:tcPr>
            <w:tcW w:type="dxa" w:w="2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日常活动能力</w:t>
            </w:r>
          </w:p>
        </w:tc>
      </w:tr>
      <w:tr>
        <w:tc>
          <w:tcPr>
            <w:tcW w:type="dxa" w:w="1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5</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TC异常标志</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2/4</w:t>
            </w:r>
          </w:p>
        </w:tc>
        <w:tc>
          <w:tcPr>
            <w:tcW w:type="dxa" w:w="2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血脂代谢异常</w:t>
            </w:r>
          </w:p>
        </w:tc>
      </w:tr>
      <w:tr>
        <w:tc>
          <w:tcPr>
            <w:tcW w:type="dxa" w:w="1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6</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葡萄糖</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2/4</w:t>
            </w:r>
          </w:p>
        </w:tc>
        <w:tc>
          <w:tcPr>
            <w:tcW w:type="dxa" w:w="2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糖代谢异常</w:t>
            </w:r>
          </w:p>
        </w:tc>
      </w:tr>
      <w:tr>
        <w:tc>
          <w:tcPr>
            <w:tcW w:type="dxa" w:w="1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7</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LDL-C</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2/4</w:t>
            </w:r>
          </w:p>
        </w:tc>
        <w:tc>
          <w:tcPr>
            <w:tcW w:type="dxa" w:w="2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低密度脂蛋白胆固醇</w:t>
            </w:r>
          </w:p>
        </w:tc>
      </w:tr>
      <w:tr>
        <w:tc>
          <w:tcPr>
            <w:tcW w:type="dxa" w:w="1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8</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HDL-C</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2/4</w:t>
            </w:r>
          </w:p>
        </w:tc>
        <w:tc>
          <w:tcPr>
            <w:tcW w:type="dxa" w:w="2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高密度脂蛋白胆固醇</w:t>
            </w:r>
          </w:p>
        </w:tc>
      </w:tr>
    </w:tbl>
    <w:p>
      <w:pPr>
        <w:spacing w:after="0" w:before="0"/>
        <w:jc w:val="center"/>
      </w:pPr>
      <w:r>
        <w:rPr>
          <w:rFonts w:ascii="宋体" w:cs="宋体" w:eastAsia="宋体" w:hAnsi="宋体"/>
          <w:sz w:val="24"/>
          <w:szCs w:val="24"/>
        </w:rPr>
        <w:t xml:space="preserve">表2 表征痰湿体质严重程度的关键指标</w:t>
      </w:r>
    </w:p>
    <w:p>
      <w:pPr>
        <w:keepNext/>
        <w:keepLines/>
        <w:spacing w:after="0" w:before="0"/>
        <w:jc w:val="center"/>
      </w:pPr>
      <w:r>
        <w:drawing>
          <wp:inline distT="0" distB="0" distL="0" distR="0">
            <wp:extent cx="4191000" cy="2514600"/>
            <wp:effectExtent t="0" r="0" b="0" l="0"/>
            <wp:docPr id="1" name="2 九种体质类型分布" descr="2 九种体质类型分布" title="2 九种体质类型分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2514600"/>
                    </a:xfrm>
                    <a:prstGeom prst="rect">
                      <a:avLst/>
                    </a:prstGeom>
                  </pic:spPr>
                </pic:pic>
              </a:graphicData>
            </a:graphic>
          </wp:inline>
        </w:drawing>
      </w:r>
    </w:p>
    <w:p>
      <w:pPr>
        <w:keepLines/>
        <w:spacing w:after="0" w:before="0"/>
        <w:jc w:val="center"/>
      </w:pPr>
      <w:r>
        <w:rPr>
          <w:rFonts w:ascii="宋体" w:cs="宋体" w:eastAsia="宋体" w:hAnsi="宋体"/>
          <w:sz w:val="24"/>
          <w:szCs w:val="24"/>
        </w:rPr>
        <w:t xml:space="preserve">图2 九种体质类型分布</w:t>
      </w:r>
    </w:p>
    <w:p>
      <w:pPr>
        <w:spacing w:after="0" w:before="0" w:line="360"/>
        <w:ind w:firstLine="480"/>
      </w:pPr>
      <w:r>
        <w:rPr>
          <w:rFonts w:ascii="宋体" w:cs="宋体" w:eastAsia="宋体" w:hAnsi="宋体"/>
          <w:sz w:val="24"/>
          <w:szCs w:val="24"/>
        </w:rPr>
        <w:t xml:space="preserve">预警高血脂发病风险的关键指标如表3所示。TG、血脂异常项数、非HDL胆固醇最具预警价值。</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200"/>
        <w:gridCol w:w="1400"/>
        <w:gridCol w:w="1600"/>
      </w:tblGrid>
      <w:tr>
        <w:tc>
          <w:tcPr>
            <w:tcW w:type="dxa" w:w="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排名</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指标</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选中数</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Spearman ρ</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p值</w:t>
            </w:r>
          </w:p>
        </w:tc>
      </w:tr>
      <w:tr>
        <w:tc>
          <w:tcPr>
            <w:tcW w:type="dxa" w:w="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血脂异常项数</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4/4</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+0.5379</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4.62×10⁻⁷⁶</w:t>
            </w:r>
          </w:p>
        </w:tc>
      </w:tr>
      <w:tr>
        <w:tc>
          <w:tcPr>
            <w:tcW w:type="dxa" w:w="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2</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甘油三酯(TG)</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4/4</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+0.4887</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3.69×10⁻⁶¹</w:t>
            </w:r>
          </w:p>
        </w:tc>
      </w:tr>
      <w:tr>
        <w:tc>
          <w:tcPr>
            <w:tcW w:type="dxa" w:w="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3</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非HDL胆固醇</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4/4</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+0.4522</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1.45×10⁻⁵¹</w:t>
            </w:r>
          </w:p>
        </w:tc>
      </w:tr>
      <w:tr>
        <w:tc>
          <w:tcPr>
            <w:tcW w:type="dxa" w:w="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4</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血尿酸</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4/4</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+0.2043</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7.03×10⁻¹¹</w:t>
            </w:r>
          </w:p>
        </w:tc>
      </w:tr>
      <w:tr>
        <w:tc>
          <w:tcPr>
            <w:tcW w:type="dxa" w:w="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5</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TC/HDL比值</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3/4</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+0.4611</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8.47×10⁵⁴</w:t>
            </w:r>
          </w:p>
        </w:tc>
      </w:tr>
      <w:tr>
        <w:tc>
          <w:tcPr>
            <w:tcW w:type="dxa" w:w="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6</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总胆固醇(TC)</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3/4</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+0.4355</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1.55×10⁻⁴⁷</w:t>
            </w:r>
          </w:p>
        </w:tc>
      </w:tr>
      <w:tr>
        <w:tc>
          <w:tcPr>
            <w:tcW w:type="dxa" w:w="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7</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TG异常标志</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4/4</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+0.4073</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2.97×10⁻⁴¹</w:t>
            </w:r>
          </w:p>
        </w:tc>
      </w:tr>
      <w:tr>
        <w:tc>
          <w:tcPr>
            <w:tcW w:type="dxa" w:w="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8</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TC异常标志</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4/4</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+0.4013</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5.58×10⁻⁴</w:t>
            </w:r>
          </w:p>
        </w:tc>
      </w:tr>
      <w:tr>
        <w:tc>
          <w:tcPr>
            <w:tcW w:type="dxa" w:w="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9</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HDL-C</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3/4</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-0.1656</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1.39×10⁷</w:t>
            </w:r>
          </w:p>
        </w:tc>
      </w:tr>
      <w:tr>
        <w:tc>
          <w:tcPr>
            <w:tcW w:type="dxa" w:w="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10</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LDL-C</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4/4</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+0.1839</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4.68×10⁻⁹</w:t>
            </w:r>
          </w:p>
        </w:tc>
      </w:tr>
    </w:tbl>
    <w:p>
      <w:pPr>
        <w:spacing w:after="0" w:before="0"/>
        <w:jc w:val="center"/>
      </w:pPr>
      <w:r>
        <w:rPr>
          <w:rFonts w:ascii="宋体" w:cs="宋体" w:eastAsia="宋体" w:hAnsi="宋体"/>
          <w:sz w:val="24"/>
          <w:szCs w:val="24"/>
        </w:rPr>
        <w:t xml:space="preserve">表3 预警高血脂发病风险的关键指标</w:t>
      </w:r>
    </w:p>
    <w:p>
      <w:pPr>
        <w:spacing w:after="0" w:before="0" w:line="360"/>
        <w:ind w:firstLine="480"/>
      </w:pPr>
      <w:r>
        <w:rPr>
          <w:rFonts w:ascii="宋体" w:cs="宋体" w:eastAsia="宋体" w:hAnsi="宋体"/>
          <w:sz w:val="24"/>
          <w:szCs w:val="24"/>
        </w:rPr>
        <w:t xml:space="preserve">九种体质贡献度分析结果如表4所示。</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400"/>
        <w:gridCol w:w="1600"/>
        <w:gridCol w:w="1200"/>
      </w:tblGrid>
      <w:tr>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体质</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样本数</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发病率</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回归系数</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OR值</w:t>
            </w:r>
          </w:p>
        </w:tc>
      </w:tr>
      <w:tr>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阳虚质</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73</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86.30%</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+0.1794</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1.197</w:t>
            </w:r>
          </w:p>
        </w:tc>
      </w:tr>
      <w:tr>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平和质</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187</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81.82%</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+0.0962</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1.101</w:t>
            </w:r>
          </w:p>
        </w:tc>
      </w:tr>
      <w:tr>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气郁质</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73</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73.97%</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+0.0795</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1.083</w:t>
            </w:r>
          </w:p>
        </w:tc>
      </w:tr>
      <w:tr>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湿热质</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77</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80.52%</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+0.0130</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1.013</w:t>
            </w:r>
          </w:p>
        </w:tc>
      </w:tr>
      <w:tr>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气虚质</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90</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80.00%</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+0.0115</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1.012</w:t>
            </w:r>
          </w:p>
        </w:tc>
      </w:tr>
      <w:tr>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痰湿质</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278</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77.34%</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-0.0407</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0.960</w:t>
            </w:r>
          </w:p>
        </w:tc>
      </w:tr>
      <w:tr>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阴虚质</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86</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79.07%</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-0.0667</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0.935</w:t>
            </w:r>
          </w:p>
        </w:tc>
      </w:tr>
      <w:tr>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特禀质</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57</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80.70%</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-0.1321</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0.876</w:t>
            </w:r>
          </w:p>
        </w:tc>
      </w:tr>
      <w:tr>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血瘀质</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79</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75.95%</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-0.1633</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0.849</w:t>
            </w:r>
          </w:p>
        </w:tc>
      </w:tr>
    </w:tbl>
    <w:p>
      <w:pPr>
        <w:spacing w:after="0" w:before="0"/>
        <w:jc w:val="center"/>
      </w:pPr>
      <w:r>
        <w:rPr>
          <w:rFonts w:ascii="宋体" w:cs="宋体" w:eastAsia="宋体" w:hAnsi="宋体"/>
          <w:sz w:val="24"/>
          <w:szCs w:val="24"/>
        </w:rPr>
        <w:t xml:space="preserve">表4 九种体质对高血脂发病风险的贡献度</w:t>
      </w:r>
    </w:p>
    <w:p>
      <w:pPr>
        <w:spacing w:after="0" w:before="0" w:line="360"/>
        <w:ind w:firstLine="480"/>
      </w:pPr>
      <w:r>
        <w:rPr>
          <w:rFonts w:ascii="宋体" w:cs="宋体" w:eastAsia="宋体" w:hAnsi="宋体"/>
          <w:sz w:val="24"/>
          <w:szCs w:val="24"/>
        </w:rPr>
        <w:t xml:space="preserve">阳虚质OR值最高(1.197)，血瘀质最低(0.849)。痰湿质OR=0.960，控制其他变量后并非最高风险因素，提示需结合痰湿积分综合分析。Kruskal-Wallis检验显示血尿酸在不同体质间差异显著(H=17.32, p=0.0269)。</w:t>
      </w:r>
    </w:p>
    <w:p>
      <w:pPr>
        <w:spacing w:after="0" w:before="0" w:line="360"/>
      </w:pPr>
      <w:r>
        <w:rPr>
          <w:rFonts w:ascii="黑体" w:cs="黑体" w:eastAsia="黑体" w:hAnsi="黑体"/>
          <w:b/>
          <w:bCs/>
          <w:sz w:val="26"/>
          <w:szCs w:val="26"/>
        </w:rPr>
        <w:t xml:space="preserve">5.2 问题二：多维度风险预警模型</w:t>
      </w:r>
    </w:p>
    <w:p>
      <w:pPr>
        <w:spacing w:after="0" w:before="0" w:line="360"/>
      </w:pPr>
      <w:r>
        <w:rPr>
          <w:rFonts w:ascii="黑体" w:cs="黑体" w:eastAsia="黑体" w:hAnsi="黑体"/>
          <w:b/>
          <w:bCs/>
          <w:sz w:val="24"/>
          <w:szCs w:val="24"/>
        </w:rPr>
        <w:t xml:space="preserve">5.2.1 风险评分模型</w:t>
      </w:r>
    </w:p>
    <w:p>
      <w:pPr>
        <w:spacing w:after="0" w:before="0" w:line="360"/>
        <w:ind w:firstLine="480"/>
      </w:pPr>
      <w:r>
        <w:rPr>
          <w:rFonts w:ascii="宋体" w:cs="宋体" w:eastAsia="宋体" w:hAnsi="宋体"/>
          <w:sz w:val="24"/>
          <w:szCs w:val="24"/>
        </w:rPr>
        <w:t xml:space="preserve">综合考虑血脂异常程度、痰湿严重程度和活动能力，构建风险评分模型：</w:t>
      </w:r>
    </w:p>
    <w:p>
      <w:pPr>
        <w:spacing w:after="0" w:before="0" w:line="360"/>
        <w:jc w:val="center"/>
      </w:pPr>
      <w:r>
        <w:rPr>
          <w:rFonts w:ascii="宋体" w:cs="宋体" w:eastAsia="宋体" w:hAnsi="宋体"/>
          <w:i/>
          <w:iCs/>
          <w:sz w:val="24"/>
          <w:szCs w:val="24"/>
        </w:rPr>
        <w:t xml:space="preserve">S = 10·N_abn + 40·(T/100) + 20·((100-A)/100) + 5·I_G + 5·I_UA + 5·I_BMI    (8)</w:t>
      </w:r>
    </w:p>
    <w:p>
      <w:pPr>
        <w:spacing w:after="0" w:before="0" w:line="360"/>
        <w:ind w:firstLine="480"/>
      </w:pPr>
      <w:r>
        <w:rPr>
          <w:rFonts w:ascii="宋体" w:cs="宋体" w:eastAsia="宋体" w:hAnsi="宋体"/>
          <w:sz w:val="24"/>
          <w:szCs w:val="24"/>
        </w:rPr>
        <w:t xml:space="preserve">风险分级：R=高风险(S≥55)/中风险(35≤S&lt;55)/低风险(S&lt;35)。</w:t>
      </w:r>
    </w:p>
    <w:p>
      <w:pPr>
        <w:spacing w:after="0" w:before="0" w:line="360"/>
        <w:ind w:firstLine="480"/>
      </w:pPr>
      <w:r>
        <w:rPr>
          <w:rFonts w:ascii="宋体" w:cs="宋体" w:eastAsia="宋体" w:hAnsi="宋体"/>
          <w:sz w:val="24"/>
          <w:szCs w:val="24"/>
        </w:rPr>
        <w:t xml:space="preserve">基于该模型，1000例样本的风险分布为：低风险232人(23.2%)、中风险540人(54.0%)、高风险228人(22.8%)。各风险等级特征统计如表5所示。</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tblGrid>
      <w:tr>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特征</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低风险(n=232)</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中风险(n=540)</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高风险(n=228)</w:t>
            </w:r>
          </w:p>
        </w:tc>
      </w:tr>
      <w:tr>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平均痰湿积分</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18.1</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32.7</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48.7</w:t>
            </w:r>
          </w:p>
        </w:tc>
      </w:tr>
      <w:tr>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平均活动总分</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52.3</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49.6</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47.3</w:t>
            </w:r>
          </w:p>
        </w:tc>
      </w:tr>
      <w:tr>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高血脂确诊率</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51.7%</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83.3%</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97.8%</w:t>
            </w:r>
          </w:p>
        </w:tc>
      </w:tr>
      <w:tr>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平均血脂异常数</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0.8</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1.8</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2.8</w:t>
            </w:r>
          </w:p>
        </w:tc>
      </w:tr>
      <w:tr>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平均TC(mmol/L)</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5.38</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5.91</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6.42</w:t>
            </w:r>
          </w:p>
        </w:tc>
      </w:tr>
      <w:tr>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平均TG(mmol/L)</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1.55</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1.89</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2.21</w:t>
            </w:r>
          </w:p>
        </w:tc>
      </w:tr>
    </w:tbl>
    <w:p>
      <w:pPr>
        <w:spacing w:after="0" w:before="0"/>
        <w:jc w:val="center"/>
      </w:pPr>
      <w:r>
        <w:rPr>
          <w:rFonts w:ascii="宋体" w:cs="宋体" w:eastAsia="宋体" w:hAnsi="宋体"/>
          <w:sz w:val="24"/>
          <w:szCs w:val="24"/>
        </w:rPr>
        <w:t xml:space="preserve">表5 各风险等级特征统计</w:t>
      </w:r>
    </w:p>
    <w:p>
      <w:pPr>
        <w:spacing w:after="0" w:before="0" w:line="360"/>
      </w:pPr>
      <w:r>
        <w:rPr>
          <w:rFonts w:ascii="黑体" w:cs="黑体" w:eastAsia="黑体" w:hAnsi="黑体"/>
          <w:b/>
          <w:bCs/>
          <w:sz w:val="24"/>
          <w:szCs w:val="24"/>
        </w:rPr>
        <w:t xml:space="preserve">5.2.2 分类模型构建与对比</w:t>
      </w:r>
    </w:p>
    <w:p>
      <w:pPr>
        <w:spacing w:after="0" w:before="0" w:line="360"/>
        <w:ind w:firstLine="480"/>
      </w:pPr>
      <w:r>
        <w:rPr>
          <w:rFonts w:ascii="宋体" w:cs="宋体" w:eastAsia="宋体" w:hAnsi="宋体"/>
          <w:sz w:val="24"/>
          <w:szCs w:val="24"/>
        </w:rPr>
        <w:t xml:space="preserve">采用6种分类算法对比，5折分层交叉验证结果如表6所示。GradientBoosting(n_estimators=150,max_depth=5)表现最优，准确率90.80%，F1=0.9034。</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600"/>
        <w:gridCol w:w="1400"/>
        <w:gridCol w:w="1000"/>
      </w:tblGrid>
      <w:tr>
        <w:tc>
          <w:tcPr>
            <w:tcW w:type="dxa" w:w="2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模型</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准确率</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F1(macro)</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AUC</w:t>
            </w:r>
          </w:p>
        </w:tc>
        <w:tc>
          <w:tcPr>
            <w:tcW w:type="dxa" w:w="1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排名</w:t>
            </w:r>
          </w:p>
        </w:tc>
      </w:tr>
      <w:tr>
        <w:tc>
          <w:tcPr>
            <w:tcW w:type="dxa" w:w="2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GradientBoosting</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0.9080</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0.9034</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0.9985</w:t>
            </w:r>
          </w:p>
        </w:tc>
        <w:tc>
          <w:tcPr>
            <w:tcW w:type="dxa" w:w="1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w:t>
            </w:r>
          </w:p>
        </w:tc>
      </w:tr>
      <w:tr>
        <w:tc>
          <w:tcPr>
            <w:tcW w:type="dxa" w:w="2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LogisticRegression</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0.8900</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0.8858</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0.9712</w:t>
            </w:r>
          </w:p>
        </w:tc>
        <w:tc>
          <w:tcPr>
            <w:tcW w:type="dxa" w:w="1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2</w:t>
            </w:r>
          </w:p>
        </w:tc>
      </w:tr>
      <w:tr>
        <w:tc>
          <w:tcPr>
            <w:tcW w:type="dxa" w:w="2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SVM(RBF)</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0.8590</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0.8515</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0.9523</w:t>
            </w:r>
          </w:p>
        </w:tc>
        <w:tc>
          <w:tcPr>
            <w:tcW w:type="dxa" w:w="1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3</w:t>
            </w:r>
          </w:p>
        </w:tc>
      </w:tr>
      <w:tr>
        <w:tc>
          <w:tcPr>
            <w:tcW w:type="dxa" w:w="2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DecisionTree</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0.8580</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0.8490</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0.9387</w:t>
            </w:r>
          </w:p>
        </w:tc>
        <w:tc>
          <w:tcPr>
            <w:tcW w:type="dxa" w:w="1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4</w:t>
            </w:r>
          </w:p>
        </w:tc>
      </w:tr>
      <w:tr>
        <w:tc>
          <w:tcPr>
            <w:tcW w:type="dxa" w:w="2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RandomForest</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0.8500</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0.8370</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0.9456</w:t>
            </w:r>
          </w:p>
        </w:tc>
        <w:tc>
          <w:tcPr>
            <w:tcW w:type="dxa" w:w="1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5</w:t>
            </w:r>
          </w:p>
        </w:tc>
      </w:tr>
      <w:tr>
        <w:tc>
          <w:tcPr>
            <w:tcW w:type="dxa" w:w="2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KNN(k=15)</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0.7460</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0.6975</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0.8523</w:t>
            </w:r>
          </w:p>
        </w:tc>
        <w:tc>
          <w:tcPr>
            <w:tcW w:type="dxa" w:w="1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6</w:t>
            </w:r>
          </w:p>
        </w:tc>
      </w:tr>
    </w:tbl>
    <w:p>
      <w:pPr>
        <w:spacing w:after="0" w:before="0"/>
        <w:jc w:val="center"/>
      </w:pPr>
      <w:r>
        <w:rPr>
          <w:rFonts w:ascii="宋体" w:cs="宋体" w:eastAsia="宋体" w:hAnsi="宋体"/>
          <w:sz w:val="24"/>
          <w:szCs w:val="24"/>
        </w:rPr>
        <w:t xml:space="preserve">表6 六模型交叉验证对比</w:t>
      </w:r>
    </w:p>
    <w:p>
      <w:pPr>
        <w:keepNext/>
        <w:keepLines/>
        <w:spacing w:after="0" w:before="0"/>
        <w:jc w:val="center"/>
      </w:pPr>
      <w:r>
        <w:drawing>
          <wp:inline distT="0" distB="0" distL="0" distR="0">
            <wp:extent cx="3429000" cy="2057400"/>
            <wp:effectExtent t="0" r="0" b="0" l="0"/>
            <wp:docPr id="1" name="3 六模型对比" descr="3 六模型对比" title="3 六模型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429000" cy="2057400"/>
                    </a:xfrm>
                    <a:prstGeom prst="rect">
                      <a:avLst/>
                    </a:prstGeom>
                  </pic:spPr>
                </pic:pic>
              </a:graphicData>
            </a:graphic>
          </wp:inline>
        </w:drawing>
      </w:r>
    </w:p>
    <w:p>
      <w:pPr>
        <w:keepLines/>
        <w:spacing w:after="0" w:before="0"/>
        <w:jc w:val="center"/>
      </w:pPr>
      <w:r>
        <w:rPr>
          <w:rFonts w:ascii="宋体" w:cs="宋体" w:eastAsia="宋体" w:hAnsi="宋体"/>
          <w:sz w:val="24"/>
          <w:szCs w:val="24"/>
        </w:rPr>
        <w:t xml:space="preserve">图3 六模型对比</w:t>
      </w:r>
    </w:p>
    <w:p>
      <w:pPr>
        <w:keepNext/>
        <w:keepLines/>
        <w:spacing w:after="0" w:before="0"/>
        <w:jc w:val="center"/>
      </w:pPr>
      <w:r>
        <w:drawing>
          <wp:inline distT="0" distB="0" distL="0" distR="0">
            <wp:extent cx="3429000" cy="2057400"/>
            <wp:effectExtent t="0" r="0" b="0" l="0"/>
            <wp:docPr id="1" name="4 ROC曲线(AUC=1.0000)" descr="4 ROC曲线(AUC=1.0000)" title="4 ROC曲线(AUC=1.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429000" cy="2057400"/>
                    </a:xfrm>
                    <a:prstGeom prst="rect">
                      <a:avLst/>
                    </a:prstGeom>
                  </pic:spPr>
                </pic:pic>
              </a:graphicData>
            </a:graphic>
          </wp:inline>
        </w:drawing>
      </w:r>
    </w:p>
    <w:p>
      <w:pPr>
        <w:keepLines/>
        <w:spacing w:after="0" w:before="0"/>
        <w:jc w:val="center"/>
      </w:pPr>
      <w:r>
        <w:rPr>
          <w:rFonts w:ascii="宋体" w:cs="宋体" w:eastAsia="宋体" w:hAnsi="宋体"/>
          <w:sz w:val="24"/>
          <w:szCs w:val="24"/>
        </w:rPr>
        <w:t xml:space="preserve">图4 ROC曲线(AUC=1.0000)</w:t>
      </w:r>
    </w:p>
    <w:p>
      <w:pPr>
        <w:keepNext/>
        <w:keepLines/>
        <w:spacing w:after="0" w:before="0"/>
        <w:jc w:val="center"/>
      </w:pPr>
      <w:r>
        <w:drawing>
          <wp:inline distT="0" distB="0" distL="0" distR="0">
            <wp:extent cx="3429000" cy="2057400"/>
            <wp:effectExtent t="0" r="0" b="0" l="0"/>
            <wp:docPr id="1" name="5 混淆矩阵" descr="5 混淆矩阵" title="5 混淆矩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429000" cy="2057400"/>
                    </a:xfrm>
                    <a:prstGeom prst="rect">
                      <a:avLst/>
                    </a:prstGeom>
                  </pic:spPr>
                </pic:pic>
              </a:graphicData>
            </a:graphic>
          </wp:inline>
        </w:drawing>
      </w:r>
    </w:p>
    <w:p>
      <w:pPr>
        <w:keepLines/>
        <w:spacing w:after="0" w:before="0"/>
        <w:jc w:val="center"/>
      </w:pPr>
      <w:r>
        <w:rPr>
          <w:rFonts w:ascii="宋体" w:cs="宋体" w:eastAsia="宋体" w:hAnsi="宋体"/>
          <w:sz w:val="24"/>
          <w:szCs w:val="24"/>
        </w:rPr>
        <w:t xml:space="preserve">图5 混淆矩阵</w:t>
      </w:r>
    </w:p>
    <w:p>
      <w:pPr>
        <w:spacing w:after="0" w:before="0" w:line="360"/>
      </w:pPr>
      <w:r>
        <w:rPr>
          <w:rFonts w:ascii="黑体" w:cs="黑体" w:eastAsia="黑体" w:hAnsi="黑体"/>
          <w:b/>
          <w:bCs/>
          <w:sz w:val="24"/>
          <w:szCs w:val="24"/>
        </w:rPr>
        <w:t xml:space="preserve">5.2.3 可解释性分析</w:t>
      </w:r>
    </w:p>
    <w:p>
      <w:pPr>
        <w:spacing w:after="0" w:before="0" w:line="360"/>
        <w:ind w:firstLine="480"/>
      </w:pPr>
      <w:r>
        <w:rPr>
          <w:rFonts w:ascii="宋体" w:cs="宋体" w:eastAsia="宋体" w:hAnsi="宋体"/>
          <w:sz w:val="24"/>
          <w:szCs w:val="24"/>
        </w:rPr>
        <w:t xml:space="preserve">决策树规则提取Top3特征：痰湿×活动交互(0.3763)、血脂异常项数(0.3109)、痰湿质积分(0.1948)。</w:t>
      </w:r>
    </w:p>
    <w:p>
      <w:pPr>
        <w:keepNext/>
        <w:keepLines/>
        <w:spacing w:after="0" w:before="0"/>
        <w:jc w:val="center"/>
      </w:pPr>
      <w:r>
        <w:drawing>
          <wp:inline distT="0" distB="0" distL="0" distR="0">
            <wp:extent cx="3810000" cy="2286000"/>
            <wp:effectExtent t="0" r="0" b="0" l="0"/>
            <wp:docPr id="1" name="6 SHAP特征贡献排序" descr="6 SHAP特征贡献排序" title="6 SHAP特征贡献排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286000"/>
                    </a:xfrm>
                    <a:prstGeom prst="rect">
                      <a:avLst/>
                    </a:prstGeom>
                  </pic:spPr>
                </pic:pic>
              </a:graphicData>
            </a:graphic>
          </wp:inline>
        </w:drawing>
      </w:r>
    </w:p>
    <w:p>
      <w:pPr>
        <w:keepLines/>
        <w:spacing w:after="0" w:before="0"/>
        <w:jc w:val="center"/>
      </w:pPr>
      <w:r>
        <w:rPr>
          <w:rFonts w:ascii="宋体" w:cs="宋体" w:eastAsia="宋体" w:hAnsi="宋体"/>
          <w:sz w:val="24"/>
          <w:szCs w:val="24"/>
        </w:rPr>
        <w:t xml:space="preserve">图6 SHAP特征贡献排序</w:t>
      </w:r>
    </w:p>
    <w:p>
      <w:pPr>
        <w:spacing w:after="0" w:before="0" w:line="360"/>
      </w:pPr>
      <w:r>
        <w:rPr>
          <w:rFonts w:ascii="黑体" w:cs="黑体" w:eastAsia="黑体" w:hAnsi="黑体"/>
          <w:b/>
          <w:bCs/>
          <w:sz w:val="24"/>
          <w:szCs w:val="24"/>
        </w:rPr>
        <w:t xml:space="preserve">5.2.4 消融实验</w:t>
      </w:r>
    </w:p>
    <w:p>
      <w:pPr>
        <w:spacing w:after="0" w:before="0" w:line="360"/>
        <w:ind w:firstLine="480"/>
      </w:pPr>
      <w:r>
        <w:rPr>
          <w:rFonts w:ascii="宋体" w:cs="宋体" w:eastAsia="宋体" w:hAnsi="宋体"/>
          <w:sz w:val="24"/>
          <w:szCs w:val="24"/>
        </w:rPr>
        <w:t xml:space="preserve">为验证中医体质维度的贡献，设计消融实验，结果如表7所示。</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400"/>
      </w:tblGrid>
      <w:tr>
        <w:tc>
          <w:tcPr>
            <w:tcW w:type="dxa" w:w="2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实验设置</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准确率</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F1(macro)</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相对下降</w:t>
            </w:r>
          </w:p>
        </w:tc>
      </w:tr>
      <w:tr>
        <w:tc>
          <w:tcPr>
            <w:tcW w:type="dxa" w:w="2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全特征(中西医结合)</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0.9080</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0.9034</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w:t>
            </w:r>
          </w:p>
        </w:tc>
      </w:tr>
      <w:tr>
        <w:tc>
          <w:tcPr>
            <w:tcW w:type="dxa" w:w="2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去掉中医体质</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0.6190</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0.5823</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-31.8%</w:t>
            </w:r>
          </w:p>
        </w:tc>
      </w:tr>
      <w:tr>
        <w:tc>
          <w:tcPr>
            <w:tcW w:type="dxa" w:w="2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仅西医指标</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0.6090</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0.5712</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-49.1%</w:t>
            </w:r>
          </w:p>
        </w:tc>
      </w:tr>
    </w:tbl>
    <w:p>
      <w:pPr>
        <w:spacing w:after="0" w:before="0"/>
        <w:jc w:val="center"/>
      </w:pPr>
      <w:r>
        <w:rPr>
          <w:rFonts w:ascii="宋体" w:cs="宋体" w:eastAsia="宋体" w:hAnsi="宋体"/>
          <w:sz w:val="24"/>
          <w:szCs w:val="24"/>
        </w:rPr>
        <w:t xml:space="preserve">表7 消融实验结果</w:t>
      </w:r>
    </w:p>
    <w:p>
      <w:pPr>
        <w:keepNext/>
        <w:keepLines/>
        <w:spacing w:after="0" w:before="0"/>
        <w:jc w:val="center"/>
      </w:pPr>
      <w:r>
        <w:drawing>
          <wp:inline distT="0" distB="0" distL="0" distR="0">
            <wp:extent cx="3429000" cy="2057400"/>
            <wp:effectExtent t="0" r="0" b="0" l="0"/>
            <wp:docPr id="1" name="7 消融实验" descr="7 消融实验" title="7 消融实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429000" cy="2057400"/>
                    </a:xfrm>
                    <a:prstGeom prst="rect">
                      <a:avLst/>
                    </a:prstGeom>
                  </pic:spPr>
                </pic:pic>
              </a:graphicData>
            </a:graphic>
          </wp:inline>
        </w:drawing>
      </w:r>
    </w:p>
    <w:p>
      <w:pPr>
        <w:keepLines/>
        <w:spacing w:after="0" w:before="0"/>
        <w:jc w:val="center"/>
      </w:pPr>
      <w:r>
        <w:rPr>
          <w:rFonts w:ascii="宋体" w:cs="宋体" w:eastAsia="宋体" w:hAnsi="宋体"/>
          <w:sz w:val="24"/>
          <w:szCs w:val="24"/>
        </w:rPr>
        <w:t xml:space="preserve">图7 消融实验</w:t>
      </w:r>
    </w:p>
    <w:p>
      <w:pPr>
        <w:spacing w:after="0" w:before="0" w:line="360"/>
      </w:pPr>
      <w:r>
        <w:rPr>
          <w:rFonts w:ascii="黑体" w:cs="黑体" w:eastAsia="黑体" w:hAnsi="黑体"/>
          <w:b/>
          <w:bCs/>
          <w:sz w:val="24"/>
          <w:szCs w:val="24"/>
        </w:rPr>
        <w:t xml:space="preserve">5.2.5 三级风险阈值</w:t>
      </w:r>
    </w:p>
    <w:p>
      <w:pPr>
        <w:spacing w:after="0" w:before="0" w:line="360"/>
        <w:ind w:firstLine="480"/>
      </w:pPr>
      <w:r>
        <w:rPr>
          <w:rFonts w:ascii="宋体" w:cs="宋体" w:eastAsia="宋体" w:hAnsi="宋体"/>
          <w:sz w:val="24"/>
          <w:szCs w:val="24"/>
        </w:rPr>
        <w:t xml:space="preserve">各特征在不同风险等级的分位数分析如表8所示。痰湿积分：低风险&lt;27、中风险27-45、高风险&gt;45。血脂异常数：低风险≤1、中风险1-2、高风险≥2。</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2000"/>
      </w:tblGrid>
      <w:tr>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特征</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低风险(Q25-Q75)</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中风险(Q25-Q75)</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高风险(Q25-Q75)</w:t>
            </w:r>
          </w:p>
        </w:tc>
      </w:tr>
      <w:tr>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痰湿积分</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7-26</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17-45</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37-61</w:t>
            </w:r>
          </w:p>
        </w:tc>
      </w:tr>
      <w:tr>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血脂异常数</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0-1</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1-2</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2-3</w:t>
            </w:r>
          </w:p>
        </w:tc>
      </w:tr>
      <w:tr>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活动总分</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45-59</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42-57</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40-54</w:t>
            </w:r>
          </w:p>
        </w:tc>
      </w:tr>
      <w:tr>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TC(mmol/L)</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4.20-6.40</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4.41-7.39</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5.11-8.06</w:t>
            </w:r>
          </w:p>
        </w:tc>
      </w:tr>
      <w:tr>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TG(mmol/L)</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0.91-1.91</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1.05-2.64</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1.42-3.09</w:t>
            </w:r>
          </w:p>
        </w:tc>
      </w:tr>
      <w:tr>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TC/HDL</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3.12-4.90</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3.46-5.88</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3.87-6.59</w:t>
            </w:r>
          </w:p>
        </w:tc>
      </w:tr>
    </w:tbl>
    <w:p>
      <w:pPr>
        <w:spacing w:after="0" w:before="0"/>
        <w:jc w:val="center"/>
      </w:pPr>
      <w:r>
        <w:rPr>
          <w:rFonts w:ascii="宋体" w:cs="宋体" w:eastAsia="宋体" w:hAnsi="宋体"/>
          <w:sz w:val="24"/>
          <w:szCs w:val="24"/>
        </w:rPr>
        <w:t xml:space="preserve">表8 三级风险特征分层阈值</w:t>
      </w:r>
    </w:p>
    <w:p>
      <w:pPr>
        <w:keepNext/>
        <w:keepLines/>
        <w:spacing w:after="0" w:before="0"/>
        <w:jc w:val="center"/>
      </w:pPr>
      <w:r>
        <w:drawing>
          <wp:inline distT="0" distB="0" distL="0" distR="0">
            <wp:extent cx="4191000" cy="2514600"/>
            <wp:effectExtent t="0" r="0" b="0" l="0"/>
            <wp:docPr id="1" name="8 风险等级分布与箱线图" descr="8 风险等级分布与箱线图" title="8 风险等级分布与箱线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91000" cy="2514600"/>
                    </a:xfrm>
                    <a:prstGeom prst="rect">
                      <a:avLst/>
                    </a:prstGeom>
                  </pic:spPr>
                </pic:pic>
              </a:graphicData>
            </a:graphic>
          </wp:inline>
        </w:drawing>
      </w:r>
    </w:p>
    <w:p>
      <w:pPr>
        <w:keepLines/>
        <w:spacing w:after="0" w:before="0"/>
        <w:jc w:val="center"/>
      </w:pPr>
      <w:r>
        <w:rPr>
          <w:rFonts w:ascii="宋体" w:cs="宋体" w:eastAsia="宋体" w:hAnsi="宋体"/>
          <w:sz w:val="24"/>
          <w:szCs w:val="24"/>
        </w:rPr>
        <w:t xml:space="preserve">图8 风险等级分布与箱线图</w:t>
      </w:r>
    </w:p>
    <w:p>
      <w:pPr>
        <w:spacing w:after="0" w:before="0" w:line="360"/>
      </w:pPr>
      <w:r>
        <w:rPr>
          <w:rFonts w:ascii="黑体" w:cs="黑体" w:eastAsia="黑体" w:hAnsi="黑体"/>
          <w:b/>
          <w:bCs/>
          <w:sz w:val="24"/>
          <w:szCs w:val="24"/>
        </w:rPr>
        <w:t xml:space="preserve">5.2.6 核心特征组合识别</w:t>
      </w:r>
    </w:p>
    <w:p>
      <w:pPr>
        <w:spacing w:after="0" w:before="0" w:line="360"/>
        <w:ind w:firstLine="480"/>
      </w:pPr>
      <w:r>
        <w:rPr>
          <w:rFonts w:ascii="宋体" w:cs="宋体" w:eastAsia="宋体" w:hAnsi="宋体"/>
          <w:sz w:val="24"/>
          <w:szCs w:val="24"/>
        </w:rPr>
        <w:t xml:space="preserve">对139例痰湿体质高风险人群的特征组合分析结果如表9所示。</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3400"/>
        <w:gridCol w:w="1200"/>
        <w:gridCol w:w="1200"/>
      </w:tblGrid>
      <w:tr>
        <w:tc>
          <w:tcPr>
            <w:tcW w:type="dxa" w:w="1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排名</w:t>
            </w:r>
          </w:p>
        </w:tc>
        <w:tc>
          <w:tcPr>
            <w:tcW w:type="dxa" w:w="3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特征组合</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人数</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占比</w:t>
            </w:r>
          </w:p>
        </w:tc>
      </w:tr>
      <w:tr>
        <w:tc>
          <w:tcPr>
            <w:tcW w:type="dxa" w:w="1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w:t>
            </w:r>
          </w:p>
        </w:tc>
        <w:tc>
          <w:tcPr>
            <w:tcW w:type="dxa" w:w="3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痰湿重度+低活动+TC异常+TG异常</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16</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11.5%</w:t>
            </w:r>
          </w:p>
        </w:tc>
      </w:tr>
      <w:tr>
        <w:tc>
          <w:tcPr>
            <w:tcW w:type="dxa" w:w="1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2</w:t>
            </w:r>
          </w:p>
        </w:tc>
        <w:tc>
          <w:tcPr>
            <w:tcW w:type="dxa" w:w="3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痰湿中度+低活动+TC异常+TG异常</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15</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10.8%</w:t>
            </w:r>
          </w:p>
        </w:tc>
      </w:tr>
      <w:tr>
        <w:tc>
          <w:tcPr>
            <w:tcW w:type="dxa" w:w="1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3</w:t>
            </w:r>
          </w:p>
        </w:tc>
        <w:tc>
          <w:tcPr>
            <w:tcW w:type="dxa" w:w="3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痰湿中度+低活动+TC正常+TG异常</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14</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10.1%</w:t>
            </w:r>
          </w:p>
        </w:tc>
      </w:tr>
      <w:tr>
        <w:tc>
          <w:tcPr>
            <w:tcW w:type="dxa" w:w="1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4</w:t>
            </w:r>
          </w:p>
        </w:tc>
        <w:tc>
          <w:tcPr>
            <w:tcW w:type="dxa" w:w="3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痰湿重度+低活动+TC异常+TG正常</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14</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10.1%</w:t>
            </w:r>
          </w:p>
        </w:tc>
      </w:tr>
      <w:tr>
        <w:tc>
          <w:tcPr>
            <w:tcW w:type="dxa" w:w="1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5</w:t>
            </w:r>
          </w:p>
        </w:tc>
        <w:tc>
          <w:tcPr>
            <w:tcW w:type="dxa" w:w="3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痰湿重度+低活动+TC正常+TG正常</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13</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9.4%</w:t>
            </w:r>
          </w:p>
        </w:tc>
      </w:tr>
      <w:tr>
        <w:tc>
          <w:tcPr>
            <w:tcW w:type="dxa" w:w="1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6</w:t>
            </w:r>
          </w:p>
        </w:tc>
        <w:tc>
          <w:tcPr>
            <w:tcW w:type="dxa" w:w="3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痰湿中度+低活动+TC异常+TG正常</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12</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8.6%</w:t>
            </w:r>
          </w:p>
        </w:tc>
      </w:tr>
    </w:tbl>
    <w:p>
      <w:pPr>
        <w:spacing w:after="0" w:before="0"/>
        <w:jc w:val="center"/>
      </w:pPr>
      <w:r>
        <w:rPr>
          <w:rFonts w:ascii="宋体" w:cs="宋体" w:eastAsia="宋体" w:hAnsi="宋体"/>
          <w:sz w:val="24"/>
          <w:szCs w:val="24"/>
        </w:rPr>
        <w:t xml:space="preserve">表9 痰湿体质高风险核心特征组合</w:t>
      </w:r>
    </w:p>
    <w:p>
      <w:pPr>
        <w:spacing w:after="0" w:before="0" w:line="360"/>
      </w:pPr>
      <w:r>
        <w:rPr>
          <w:rFonts w:ascii="黑体" w:cs="黑体" w:eastAsia="黑体" w:hAnsi="黑体"/>
          <w:b/>
          <w:bCs/>
          <w:sz w:val="26"/>
          <w:szCs w:val="26"/>
        </w:rPr>
        <w:t xml:space="preserve">5.3 问题三：6个月干预方案优化</w:t>
      </w:r>
    </w:p>
    <w:p>
      <w:pPr>
        <w:spacing w:after="0" w:before="0" w:line="360"/>
      </w:pPr>
      <w:r>
        <w:rPr>
          <w:rFonts w:ascii="黑体" w:cs="黑体" w:eastAsia="黑体" w:hAnsi="黑体"/>
          <w:b/>
          <w:bCs/>
          <w:sz w:val="24"/>
          <w:szCs w:val="24"/>
        </w:rPr>
        <w:t xml:space="preserve">5.3.1 优化模型建立</w:t>
      </w:r>
    </w:p>
    <w:p>
      <w:pPr>
        <w:spacing w:after="0" w:before="0" w:line="360"/>
        <w:ind w:firstLine="480"/>
      </w:pPr>
      <w:r>
        <w:rPr>
          <w:rFonts w:ascii="宋体" w:cs="宋体" w:eastAsia="宋体" w:hAnsi="宋体"/>
          <w:sz w:val="24"/>
          <w:szCs w:val="24"/>
        </w:rPr>
        <w:t xml:space="preserve">决策变量：调理级别L∈{1,2,3}，活动强度K∈{1,2,3}，周频次n∈{1,...,10}。</w:t>
      </w:r>
    </w:p>
    <w:p>
      <w:pPr>
        <w:spacing w:after="0" w:before="0" w:line="360"/>
        <w:ind w:firstLine="480"/>
      </w:pPr>
      <w:r>
        <w:rPr>
          <w:rFonts w:ascii="宋体" w:cs="宋体" w:eastAsia="宋体" w:hAnsi="宋体"/>
          <w:sz w:val="24"/>
          <w:szCs w:val="24"/>
        </w:rPr>
        <w:t xml:space="preserve">约束条件：</w:t>
      </w:r>
    </w:p>
    <w:p>
      <w:pPr>
        <w:spacing w:after="0" w:before="0" w:line="360"/>
        <w:ind w:firstLine="480"/>
      </w:pPr>
      <w:r>
        <w:rPr>
          <w:rFonts w:ascii="宋体" w:cs="宋体" w:eastAsia="宋体" w:hAnsi="宋体"/>
          <w:sz w:val="24"/>
          <w:szCs w:val="24"/>
        </w:rPr>
        <w:t xml:space="preserve">调理分级约束：T≥62→L=3；59≤T≤61→L=2；T&lt;59→L=1。</w:t>
      </w:r>
    </w:p>
    <w:p>
      <w:pPr>
        <w:spacing w:after="0" w:before="0" w:line="360"/>
        <w:ind w:firstLine="480"/>
      </w:pPr>
      <w:r>
        <w:rPr>
          <w:rFonts w:ascii="宋体" w:cs="宋体" w:eastAsia="宋体" w:hAnsi="宋体"/>
          <w:sz w:val="24"/>
          <w:szCs w:val="24"/>
        </w:rPr>
        <w:t xml:space="preserve">活动强度约束：K≤min(K_age, K_score)，K_age：40-59岁为3、60-79岁为2、80-89岁为1；K_score：A&lt;40为1、40≤A&lt;60为2、A≥60为3。</w:t>
      </w:r>
    </w:p>
    <w:p>
      <w:pPr>
        <w:spacing w:after="0" w:before="0" w:line="360"/>
        <w:ind w:firstLine="480"/>
      </w:pPr>
      <w:r>
        <w:rPr>
          <w:rFonts w:ascii="宋体" w:cs="宋体" w:eastAsia="宋体" w:hAnsi="宋体"/>
          <w:sz w:val="24"/>
          <w:szCs w:val="24"/>
        </w:rPr>
        <w:t xml:space="preserve">成本约束：C_total=C_TCM(L)+C_ACT(K,n)≤2000元。</w:t>
      </w:r>
    </w:p>
    <w:p>
      <w:pPr>
        <w:spacing w:after="0" w:before="0" w:line="360"/>
        <w:ind w:firstLine="480"/>
      </w:pPr>
      <w:r>
        <w:rPr>
          <w:rFonts w:ascii="宋体" w:cs="宋体" w:eastAsia="宋体" w:hAnsi="宋体"/>
          <w:sz w:val="24"/>
          <w:szCs w:val="24"/>
        </w:rPr>
        <w:t xml:space="preserve">频率约束：1≤n≤10。</w:t>
      </w:r>
    </w:p>
    <w:p>
      <w:pPr>
        <w:spacing w:after="0" w:before="0" w:line="360"/>
        <w:ind w:firstLine="480"/>
      </w:pPr>
      <w:r>
        <w:rPr>
          <w:rFonts w:ascii="宋体" w:cs="宋体" w:eastAsia="宋体" w:hAnsi="宋体"/>
          <w:sz w:val="24"/>
          <w:szCs w:val="24"/>
        </w:rPr>
        <w:t xml:space="preserve">痰湿积分下降模型：</w:t>
      </w:r>
    </w:p>
    <w:p>
      <w:pPr>
        <w:spacing w:after="0" w:before="0" w:line="360"/>
        <w:jc w:val="center"/>
      </w:pPr>
      <w:r>
        <w:rPr>
          <w:rFonts w:ascii="宋体" w:cs="宋体" w:eastAsia="宋体" w:hAnsi="宋体"/>
          <w:i/>
          <w:iCs/>
          <w:sz w:val="24"/>
          <w:szCs w:val="24"/>
        </w:rPr>
        <w:t xml:space="preserve">r(K,n) = 3%×K + max(0, n-5)×1%    (9)</w:t>
      </w:r>
    </w:p>
    <w:p>
      <w:pPr>
        <w:spacing w:after="0" w:before="0" w:line="360"/>
        <w:jc w:val="center"/>
      </w:pPr>
      <w:r>
        <w:rPr>
          <w:rFonts w:ascii="宋体" w:cs="宋体" w:eastAsia="宋体" w:hAnsi="宋体"/>
          <w:i/>
          <w:iCs/>
          <w:sz w:val="24"/>
          <w:szCs w:val="24"/>
        </w:rPr>
        <w:t xml:space="preserve">ΔT = T_0·[1 - (1-r)^6]    (10)</w:t>
      </w:r>
    </w:p>
    <w:p>
      <w:pPr>
        <w:spacing w:after="0" w:before="0" w:line="360"/>
        <w:ind w:firstLine="480"/>
      </w:pPr>
      <w:r>
        <w:rPr>
          <w:rFonts w:ascii="宋体" w:cs="宋体" w:eastAsia="宋体" w:hAnsi="宋体"/>
          <w:sz w:val="24"/>
          <w:szCs w:val="24"/>
        </w:rPr>
        <w:t xml:space="preserve">多目标优化：min C_total，max ΔT。加权法：min C_total-λ·ΔT。</w:t>
      </w:r>
    </w:p>
    <w:p>
      <w:pPr>
        <w:spacing w:after="0" w:before="0" w:line="360"/>
      </w:pPr>
      <w:r>
        <w:rPr>
          <w:rFonts w:ascii="黑体" w:cs="黑体" w:eastAsia="黑体" w:hAnsi="黑体"/>
          <w:b/>
          <w:bCs/>
          <w:sz w:val="24"/>
          <w:szCs w:val="24"/>
        </w:rPr>
        <w:t xml:space="preserve">5.3.2 AHP层次分析</w:t>
      </w:r>
    </w:p>
    <w:p>
      <w:pPr>
        <w:spacing w:after="0" w:before="0" w:line="360"/>
        <w:ind w:firstLine="480"/>
      </w:pPr>
      <w:r>
        <w:rPr>
          <w:rFonts w:ascii="宋体" w:cs="宋体" w:eastAsia="宋体" w:hAnsi="宋体"/>
          <w:sz w:val="24"/>
          <w:szCs w:val="24"/>
        </w:rPr>
        <w:t xml:space="preserve">构建三维判断矩阵（经济成本、痰湿下降效果、患者耐受度）：</w:t>
      </w:r>
    </w:p>
    <w:p>
      <w:pPr>
        <w:spacing w:after="0" w:before="0" w:line="360"/>
        <w:jc w:val="center"/>
      </w:pPr>
      <w:r>
        <w:rPr>
          <w:rFonts w:ascii="宋体" w:cs="宋体" w:eastAsia="宋体" w:hAnsi="宋体"/>
          <w:i/>
          <w:iCs/>
          <w:sz w:val="24"/>
          <w:szCs w:val="24"/>
        </w:rPr>
        <w:t xml:space="preserve">A = [[1, 1/3, 1/2], [3, 1, 2], [2, 1/2, 1]]    (11)</w:t>
      </w:r>
    </w:p>
    <w:p>
      <w:pPr>
        <w:spacing w:after="0" w:before="0" w:line="360"/>
        <w:ind w:firstLine="480"/>
      </w:pPr>
      <w:r>
        <w:rPr>
          <w:rFonts w:ascii="宋体" w:cs="宋体" w:eastAsia="宋体" w:hAnsi="宋体"/>
          <w:sz w:val="24"/>
          <w:szCs w:val="24"/>
        </w:rPr>
        <w:t xml:space="preserve">权重：经济成本16.4%，痰湿下降效果53.9%，患者耐受度29.7%。</w:t>
      </w:r>
    </w:p>
    <w:p>
      <w:pPr>
        <w:spacing w:after="0" w:before="0" w:line="360"/>
        <w:ind w:firstLine="480"/>
      </w:pPr>
      <w:r>
        <w:rPr>
          <w:rFonts w:ascii="宋体" w:cs="宋体" w:eastAsia="宋体" w:hAnsi="宋体"/>
          <w:sz w:val="24"/>
          <w:szCs w:val="24"/>
        </w:rPr>
        <w:t xml:space="preserve">一致性检验：λ_max=3.0092，CI=0.0046，CR=0.0079&lt;0.1，通过。</w:t>
      </w:r>
    </w:p>
    <w:p>
      <w:pPr>
        <w:keepNext/>
        <w:keepLines/>
        <w:spacing w:after="0" w:before="0"/>
        <w:jc w:val="center"/>
      </w:pPr>
      <w:r>
        <w:drawing>
          <wp:inline distT="0" distB="0" distL="0" distR="0">
            <wp:extent cx="3429000" cy="2057400"/>
            <wp:effectExtent t="0" r="0" b="0" l="0"/>
            <wp:docPr id="1" name="9 AHP权重分配" descr="9 AHP权重分配" title="9 AHP权重分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429000" cy="2057400"/>
                    </a:xfrm>
                    <a:prstGeom prst="rect">
                      <a:avLst/>
                    </a:prstGeom>
                  </pic:spPr>
                </pic:pic>
              </a:graphicData>
            </a:graphic>
          </wp:inline>
        </w:drawing>
      </w:r>
    </w:p>
    <w:p>
      <w:pPr>
        <w:keepLines/>
        <w:spacing w:after="0" w:before="0"/>
        <w:jc w:val="center"/>
      </w:pPr>
      <w:r>
        <w:rPr>
          <w:rFonts w:ascii="宋体" w:cs="宋体" w:eastAsia="宋体" w:hAnsi="宋体"/>
          <w:sz w:val="24"/>
          <w:szCs w:val="24"/>
        </w:rPr>
        <w:t xml:space="preserve">图9 AHP权重分配</w:t>
      </w:r>
    </w:p>
    <w:p>
      <w:pPr>
        <w:spacing w:after="0" w:before="0" w:line="360"/>
      </w:pPr>
      <w:r>
        <w:rPr>
          <w:rFonts w:ascii="黑体" w:cs="黑体" w:eastAsia="黑体" w:hAnsi="黑体"/>
          <w:b/>
          <w:bCs/>
          <w:sz w:val="24"/>
          <w:szCs w:val="24"/>
        </w:rPr>
        <w:t xml:space="preserve">5.3.3 灰色GM(1,1)预测验证</w:t>
      </w:r>
    </w:p>
    <w:p>
      <w:pPr>
        <w:spacing w:after="0" w:before="0" w:line="360"/>
        <w:ind w:firstLine="480"/>
      </w:pPr>
      <w:r>
        <w:rPr>
          <w:rFonts w:ascii="宋体" w:cs="宋体" w:eastAsia="宋体" w:hAnsi="宋体"/>
          <w:sz w:val="24"/>
          <w:szCs w:val="24"/>
        </w:rPr>
        <w:t xml:space="preserve">建立一阶线性微分方程：</w:t>
      </w:r>
    </w:p>
    <w:p>
      <w:pPr>
        <w:spacing w:after="0" w:before="0" w:line="360"/>
        <w:jc w:val="center"/>
      </w:pPr>
      <w:r>
        <w:rPr>
          <w:rFonts w:ascii="宋体" w:cs="宋体" w:eastAsia="宋体" w:hAnsi="宋体"/>
          <w:i/>
          <w:iCs/>
          <w:sz w:val="24"/>
          <w:szCs w:val="24"/>
        </w:rPr>
        <w:t xml:space="preserve">dT/dt + aT = b    (12)</w:t>
      </w:r>
    </w:p>
    <w:p>
      <w:pPr>
        <w:spacing w:after="0" w:before="0" w:line="360"/>
        <w:ind w:firstLine="480"/>
      </w:pPr>
      <w:r>
        <w:rPr>
          <w:rFonts w:ascii="宋体" w:cs="宋体" w:eastAsia="宋体" w:hAnsi="宋体"/>
          <w:sz w:val="24"/>
          <w:szCs w:val="24"/>
        </w:rPr>
        <w:t xml:space="preserve">对样本1、2、3进行6个月痰湿积分变化预测，结果如表10所示。</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600"/>
        <w:gridCol w:w="1600"/>
        <w:gridCol w:w="1000"/>
      </w:tblGrid>
      <w:tr>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样本</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初始值</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月下降率</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GM(1,1)预测值</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优化模型终值</w:t>
            </w:r>
          </w:p>
        </w:tc>
        <w:tc>
          <w:tcPr>
            <w:tcW w:type="dxa" w:w="1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误差</w:t>
            </w:r>
          </w:p>
        </w:tc>
      </w:tr>
      <w:tr>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样本1</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64.0</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3.0%</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53.3</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53.3</w:t>
            </w:r>
          </w:p>
        </w:tc>
        <w:tc>
          <w:tcPr>
            <w:tcW w:type="dxa" w:w="1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0.0</w:t>
            </w:r>
          </w:p>
        </w:tc>
      </w:tr>
      <w:tr>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样本2</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58.0</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3.0%</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48.3</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48.3</w:t>
            </w:r>
          </w:p>
        </w:tc>
        <w:tc>
          <w:tcPr>
            <w:tcW w:type="dxa" w:w="1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0.0</w:t>
            </w:r>
          </w:p>
        </w:tc>
      </w:tr>
      <w:tr>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样本3</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59.0</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3.0%</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49.1</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49.1</w:t>
            </w:r>
          </w:p>
        </w:tc>
        <w:tc>
          <w:tcPr>
            <w:tcW w:type="dxa" w:w="1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0.0</w:t>
            </w:r>
          </w:p>
        </w:tc>
      </w:tr>
    </w:tbl>
    <w:p>
      <w:pPr>
        <w:spacing w:after="0" w:before="0"/>
        <w:jc w:val="center"/>
      </w:pPr>
      <w:r>
        <w:rPr>
          <w:rFonts w:ascii="宋体" w:cs="宋体" w:eastAsia="宋体" w:hAnsi="宋体"/>
          <w:sz w:val="24"/>
          <w:szCs w:val="24"/>
        </w:rPr>
        <w:t xml:space="preserve">表10 灰色预测与优化结果对比</w:t>
      </w:r>
    </w:p>
    <w:p>
      <w:pPr>
        <w:spacing w:after="0" w:before="0" w:line="360"/>
      </w:pPr>
      <w:r>
        <w:rPr>
          <w:rFonts w:ascii="黑体" w:cs="黑体" w:eastAsia="黑体" w:hAnsi="黑体"/>
          <w:b/>
          <w:bCs/>
          <w:sz w:val="24"/>
          <w:szCs w:val="24"/>
        </w:rPr>
        <w:t xml:space="preserve">5.3.4 样本最优方案</w:t>
      </w:r>
    </w:p>
    <w:p>
      <w:pPr>
        <w:spacing w:after="0" w:before="0" w:line="360"/>
        <w:ind w:firstLine="480"/>
      </w:pPr>
      <w:r>
        <w:rPr>
          <w:rFonts w:ascii="宋体" w:cs="宋体" w:eastAsia="宋体" w:hAnsi="宋体"/>
          <w:sz w:val="24"/>
          <w:szCs w:val="24"/>
        </w:rPr>
        <w:t xml:space="preserve">样本1（50-59岁，活动量表38分，痰湿64分→3级强化调理）最优方案如表11所示。</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400"/>
        <w:gridCol w:w="1200"/>
        <w:gridCol w:w="1200"/>
        <w:gridCol w:w="1200"/>
      </w:tblGrid>
      <w:tr>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推荐类型</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调理</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活动</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频次</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成本</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下降</w:t>
            </w:r>
          </w:p>
        </w:tc>
      </w:tr>
      <w:tr>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A-最省钱</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3级强化</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1级低强度</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1次/周</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852元</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10.7分</w:t>
            </w:r>
          </w:p>
        </w:tc>
      </w:tr>
      <w:tr>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C-性价比</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3级强化</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1级低强度</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10次/周</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1500元</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25.2分</w:t>
            </w:r>
          </w:p>
        </w:tc>
      </w:tr>
      <w:tr>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B-效果优先</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3级强化</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2级中强度</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10次/周</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1980元</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32.3分</w:t>
            </w:r>
          </w:p>
        </w:tc>
      </w:tr>
    </w:tbl>
    <w:p>
      <w:pPr>
        <w:spacing w:after="0" w:before="0"/>
        <w:jc w:val="center"/>
      </w:pPr>
      <w:r>
        <w:rPr>
          <w:rFonts w:ascii="宋体" w:cs="宋体" w:eastAsia="宋体" w:hAnsi="宋体"/>
          <w:sz w:val="24"/>
          <w:szCs w:val="24"/>
        </w:rPr>
        <w:t xml:space="preserve">表11 样本1最优干预方案</w:t>
      </w:r>
    </w:p>
    <w:p>
      <w:pPr>
        <w:spacing w:after="0" w:before="0" w:line="360"/>
        <w:ind w:firstLine="480"/>
      </w:pPr>
      <w:r>
        <w:rPr>
          <w:rFonts w:ascii="宋体" w:cs="宋体" w:eastAsia="宋体" w:hAnsi="宋体"/>
          <w:sz w:val="24"/>
          <w:szCs w:val="24"/>
        </w:rPr>
        <w:t xml:space="preserve">样本2（40-49岁，活动量表40分，痰湿58分→1级基础调理）最优方案如表12所示。</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400"/>
        <w:gridCol w:w="1200"/>
        <w:gridCol w:w="1200"/>
        <w:gridCol w:w="1200"/>
      </w:tblGrid>
      <w:tr>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推荐类型</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调理</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活动</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频次</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成本</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下降</w:t>
            </w:r>
          </w:p>
        </w:tc>
      </w:tr>
      <w:tr>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A-最省钱</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1级基础</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1级低强度</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1次/周</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252元</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9.7分</w:t>
            </w:r>
          </w:p>
        </w:tc>
      </w:tr>
      <w:tr>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C-性价比</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1级基础</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2级中强度</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1次/周</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300元</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18.0分</w:t>
            </w:r>
          </w:p>
        </w:tc>
      </w:tr>
      <w:tr>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B-效果优先</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1级基础</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2级中强度</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10次/周</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1380元</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29.2分</w:t>
            </w:r>
          </w:p>
        </w:tc>
      </w:tr>
    </w:tbl>
    <w:p>
      <w:pPr>
        <w:spacing w:after="0" w:before="0"/>
        <w:jc w:val="center"/>
      </w:pPr>
      <w:r>
        <w:rPr>
          <w:rFonts w:ascii="宋体" w:cs="宋体" w:eastAsia="宋体" w:hAnsi="宋体"/>
          <w:sz w:val="24"/>
          <w:szCs w:val="24"/>
        </w:rPr>
        <w:t xml:space="preserve">表12 样本2最优干预方案</w:t>
      </w:r>
    </w:p>
    <w:p>
      <w:pPr>
        <w:spacing w:after="0" w:before="0" w:line="360"/>
        <w:ind w:firstLine="480"/>
      </w:pPr>
      <w:r>
        <w:rPr>
          <w:rFonts w:ascii="宋体" w:cs="宋体" w:eastAsia="宋体" w:hAnsi="宋体"/>
          <w:sz w:val="24"/>
          <w:szCs w:val="24"/>
        </w:rPr>
        <w:t xml:space="preserve">样本3（40-49岁，活动量表63分，痰湿59分→2级中度调理）最优方案如表13所示。</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400"/>
        <w:gridCol w:w="1200"/>
        <w:gridCol w:w="1200"/>
        <w:gridCol w:w="1200"/>
      </w:tblGrid>
      <w:tr>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推荐类型</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调理</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活动</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频次</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成本</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下降</w:t>
            </w:r>
          </w:p>
        </w:tc>
      </w:tr>
      <w:tr>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A-最省钱</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2级中度</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1级低强度</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1次/周</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552元</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9.9分</w:t>
            </w:r>
          </w:p>
        </w:tc>
      </w:tr>
      <w:tr>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C-性价比</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2级中度</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3级高强度</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1次/周</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672元</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25.5分</w:t>
            </w:r>
          </w:p>
        </w:tc>
      </w:tr>
      <w:tr>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B-效果优先</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2级中度</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2级中强度</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10次/周</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1680元</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29.7分</w:t>
            </w:r>
          </w:p>
        </w:tc>
      </w:tr>
    </w:tbl>
    <w:p>
      <w:pPr>
        <w:spacing w:after="0" w:before="0"/>
        <w:jc w:val="center"/>
      </w:pPr>
      <w:r>
        <w:rPr>
          <w:rFonts w:ascii="宋体" w:cs="宋体" w:eastAsia="宋体" w:hAnsi="宋体"/>
          <w:sz w:val="24"/>
          <w:szCs w:val="24"/>
        </w:rPr>
        <w:t xml:space="preserve">表13 样本3最优干预方案</w:t>
      </w:r>
    </w:p>
    <w:p>
      <w:pPr>
        <w:keepNext/>
        <w:keepLines/>
        <w:spacing w:after="0" w:before="0"/>
        <w:jc w:val="center"/>
      </w:pPr>
      <w:r>
        <w:drawing>
          <wp:inline distT="0" distB="0" distL="0" distR="0">
            <wp:extent cx="3810000" cy="2286000"/>
            <wp:effectExtent t="0" r="0" b="0" l="0"/>
            <wp:docPr id="1" name="10 278例方案统计" descr="10 278例方案统计" title="10 278例方案统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810000" cy="2286000"/>
                    </a:xfrm>
                    <a:prstGeom prst="rect">
                      <a:avLst/>
                    </a:prstGeom>
                  </pic:spPr>
                </pic:pic>
              </a:graphicData>
            </a:graphic>
          </wp:inline>
        </w:drawing>
      </w:r>
    </w:p>
    <w:p>
      <w:pPr>
        <w:keepLines/>
        <w:spacing w:after="0" w:before="0"/>
        <w:jc w:val="center"/>
      </w:pPr>
      <w:r>
        <w:rPr>
          <w:rFonts w:ascii="宋体" w:cs="宋体" w:eastAsia="宋体" w:hAnsi="宋体"/>
          <w:sz w:val="24"/>
          <w:szCs w:val="24"/>
        </w:rPr>
        <w:t xml:space="preserve">图10 278例方案统计</w:t>
      </w:r>
    </w:p>
    <w:p>
      <w:pPr>
        <w:keepNext/>
        <w:keepLines/>
        <w:spacing w:after="0" w:before="0"/>
        <w:jc w:val="center"/>
      </w:pPr>
      <w:r>
        <w:drawing>
          <wp:inline distT="0" distB="0" distL="0" distR="0">
            <wp:extent cx="3810000" cy="2286000"/>
            <wp:effectExtent t="0" r="0" b="0" l="0"/>
            <wp:docPr id="1" name="11 Pareto前沿" descr="11 Pareto前沿" title="11 Pareto前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810000" cy="2286000"/>
                    </a:xfrm>
                    <a:prstGeom prst="rect">
                      <a:avLst/>
                    </a:prstGeom>
                  </pic:spPr>
                </pic:pic>
              </a:graphicData>
            </a:graphic>
          </wp:inline>
        </w:drawing>
      </w:r>
    </w:p>
    <w:p>
      <w:pPr>
        <w:keepLines/>
        <w:spacing w:after="0" w:before="0"/>
        <w:jc w:val="center"/>
      </w:pPr>
      <w:r>
        <w:rPr>
          <w:rFonts w:ascii="宋体" w:cs="宋体" w:eastAsia="宋体" w:hAnsi="宋体"/>
          <w:sz w:val="24"/>
          <w:szCs w:val="24"/>
        </w:rPr>
        <w:t xml:space="preserve">图11 Pareto前沿</w:t>
      </w:r>
    </w:p>
    <w:p>
      <w:pPr>
        <w:spacing w:after="0" w:before="0" w:line="360"/>
      </w:pPr>
      <w:r>
        <w:rPr>
          <w:rFonts w:ascii="黑体" w:cs="黑体" w:eastAsia="黑体" w:hAnsi="黑体"/>
          <w:b/>
          <w:bCs/>
          <w:sz w:val="24"/>
          <w:szCs w:val="24"/>
        </w:rPr>
        <w:t xml:space="preserve">5.3.5 全部患者统计</w:t>
      </w:r>
    </w:p>
    <w:p>
      <w:pPr>
        <w:spacing w:after="0" w:before="0" w:line="360"/>
        <w:ind w:firstLine="480"/>
      </w:pPr>
      <w:r>
        <w:rPr>
          <w:rFonts w:ascii="宋体" w:cs="宋体" w:eastAsia="宋体" w:hAnsi="宋体"/>
          <w:sz w:val="24"/>
          <w:szCs w:val="24"/>
        </w:rPr>
        <w:t xml:space="preserve">278例痰湿体质患者的优化方案统计如表14所示。平均成本724元，平均下降19.3分。</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400"/>
        <w:gridCol w:w="1400"/>
        <w:gridCol w:w="1800"/>
        <w:gridCol w:w="1400"/>
      </w:tblGrid>
      <w:tr>
        <w:tc>
          <w:tcPr>
            <w:tcW w:type="dxa" w:w="1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年龄组</w:t>
            </w:r>
          </w:p>
        </w:tc>
        <w:tc>
          <w:tcPr>
            <w:tcW w:type="dxa" w:w="1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人数</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平均成本</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平均下降</w:t>
            </w:r>
          </w:p>
        </w:tc>
        <w:tc>
          <w:tcPr>
            <w:tcW w:type="dxa" w:w="1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最常见强度</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成本中位数</w:t>
            </w:r>
          </w:p>
        </w:tc>
      </w:tr>
      <w:tr>
        <w:tc>
          <w:tcPr>
            <w:tcW w:type="dxa" w:w="1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1(40-49岁)</w:t>
            </w:r>
          </w:p>
        </w:tc>
        <w:tc>
          <w:tcPr>
            <w:tcW w:type="dxa" w:w="1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55</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648元</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20.0分</w:t>
            </w:r>
          </w:p>
        </w:tc>
        <w:tc>
          <w:tcPr>
            <w:tcW w:type="dxa" w:w="1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2级中强度</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600元</w:t>
            </w:r>
          </w:p>
        </w:tc>
      </w:tr>
      <w:tr>
        <w:tc>
          <w:tcPr>
            <w:tcW w:type="dxa" w:w="1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2(50-59岁)</w:t>
            </w:r>
          </w:p>
        </w:tc>
        <w:tc>
          <w:tcPr>
            <w:tcW w:type="dxa" w:w="1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54</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678元</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19.8分</w:t>
            </w:r>
          </w:p>
        </w:tc>
        <w:tc>
          <w:tcPr>
            <w:tcW w:type="dxa" w:w="1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2级中强度</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660元</w:t>
            </w:r>
          </w:p>
        </w:tc>
      </w:tr>
      <w:tr>
        <w:tc>
          <w:tcPr>
            <w:tcW w:type="dxa" w:w="1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3(60-69岁)</w:t>
            </w:r>
          </w:p>
        </w:tc>
        <w:tc>
          <w:tcPr>
            <w:tcW w:type="dxa" w:w="1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56</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632元</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18.2分</w:t>
            </w:r>
          </w:p>
        </w:tc>
        <w:tc>
          <w:tcPr>
            <w:tcW w:type="dxa" w:w="1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2级中强度</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600元</w:t>
            </w:r>
          </w:p>
        </w:tc>
      </w:tr>
      <w:tr>
        <w:tc>
          <w:tcPr>
            <w:tcW w:type="dxa" w:w="1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4(70-79岁)</w:t>
            </w:r>
          </w:p>
        </w:tc>
        <w:tc>
          <w:tcPr>
            <w:tcW w:type="dxa" w:w="1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60</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647元</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18.5分</w:t>
            </w:r>
          </w:p>
        </w:tc>
        <w:tc>
          <w:tcPr>
            <w:tcW w:type="dxa" w:w="1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2级中强度</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600元</w:t>
            </w:r>
          </w:p>
        </w:tc>
      </w:tr>
      <w:tr>
        <w:tc>
          <w:tcPr>
            <w:tcW w:type="dxa" w:w="1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5(80-89岁)</w:t>
            </w:r>
          </w:p>
        </w:tc>
        <w:tc>
          <w:tcPr>
            <w:tcW w:type="dxa" w:w="1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53</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1034元</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20.0分</w:t>
            </w:r>
          </w:p>
        </w:tc>
        <w:tc>
          <w:tcPr>
            <w:tcW w:type="dxa" w:w="1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1级低强度</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1020元</w:t>
            </w:r>
          </w:p>
        </w:tc>
      </w:tr>
      <w:tr>
        <w:tc>
          <w:tcPr>
            <w:tcW w:type="dxa" w:w="1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合计</w:t>
            </w:r>
          </w:p>
        </w:tc>
        <w:tc>
          <w:tcPr>
            <w:tcW w:type="dxa" w:w="1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278</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724元</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19.3分</w:t>
            </w:r>
          </w:p>
        </w:tc>
        <w:tc>
          <w:tcPr>
            <w:tcW w:type="dxa" w:w="1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2级中强度</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600元</w:t>
            </w:r>
          </w:p>
        </w:tc>
      </w:tr>
    </w:tbl>
    <w:p>
      <w:pPr>
        <w:spacing w:after="0" w:before="0"/>
        <w:jc w:val="center"/>
      </w:pPr>
      <w:r>
        <w:rPr>
          <w:rFonts w:ascii="宋体" w:cs="宋体" w:eastAsia="宋体" w:hAnsi="宋体"/>
          <w:sz w:val="24"/>
          <w:szCs w:val="24"/>
        </w:rPr>
        <w:t xml:space="preserve">表14 各年龄组干预方案统计</w:t>
      </w:r>
    </w:p>
    <w:p>
      <w:pPr>
        <w:keepNext/>
        <w:keepLines/>
        <w:spacing w:after="0" w:before="0"/>
        <w:jc w:val="center"/>
      </w:pPr>
      <w:r>
        <w:drawing>
          <wp:inline distT="0" distB="0" distL="0" distR="0">
            <wp:extent cx="3810000" cy="2286000"/>
            <wp:effectExtent t="0" r="0" b="0" l="0"/>
            <wp:docPr id="1" name="12 6个月干预趋势" descr="12 6个月干预趋势" title="12 6个月干预趋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810000" cy="2286000"/>
                    </a:xfrm>
                    <a:prstGeom prst="rect">
                      <a:avLst/>
                    </a:prstGeom>
                  </pic:spPr>
                </pic:pic>
              </a:graphicData>
            </a:graphic>
          </wp:inline>
        </w:drawing>
      </w:r>
    </w:p>
    <w:p>
      <w:pPr>
        <w:keepLines/>
        <w:spacing w:after="0" w:before="0"/>
        <w:jc w:val="center"/>
      </w:pPr>
      <w:r>
        <w:rPr>
          <w:rFonts w:ascii="宋体" w:cs="宋体" w:eastAsia="宋体" w:hAnsi="宋体"/>
          <w:sz w:val="24"/>
          <w:szCs w:val="24"/>
        </w:rPr>
        <w:t xml:space="preserve">图12 6个月干预趋势</w:t>
      </w:r>
    </w:p>
    <w:p>
      <w:pPr>
        <w:keepNext/>
        <w:keepLines/>
        <w:spacing w:after="0" w:before="0"/>
        <w:jc w:val="center"/>
      </w:pPr>
      <w:r>
        <w:drawing>
          <wp:inline distT="0" distB="0" distL="0" distR="0">
            <wp:extent cx="3810000" cy="2286000"/>
            <wp:effectExtent t="0" r="0" b="0" l="0"/>
            <wp:docPr id="1" name="13 样本方案对比" descr="13 样本方案对比" title="13 样本方案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810000" cy="2286000"/>
                    </a:xfrm>
                    <a:prstGeom prst="rect">
                      <a:avLst/>
                    </a:prstGeom>
                  </pic:spPr>
                </pic:pic>
              </a:graphicData>
            </a:graphic>
          </wp:inline>
        </w:drawing>
      </w:r>
    </w:p>
    <w:p>
      <w:pPr>
        <w:keepLines/>
        <w:spacing w:after="0" w:before="0"/>
        <w:jc w:val="center"/>
      </w:pPr>
      <w:r>
        <w:rPr>
          <w:rFonts w:ascii="宋体" w:cs="宋体" w:eastAsia="宋体" w:hAnsi="宋体"/>
          <w:sz w:val="24"/>
          <w:szCs w:val="24"/>
        </w:rPr>
        <w:t xml:space="preserve">图13 样本方案对比</w:t>
      </w:r>
    </w:p>
    <w:p>
      <w:pPr>
        <w:spacing w:after="0" w:before="0" w:line="360"/>
      </w:pPr>
      <w:r>
        <w:rPr>
          <w:rFonts w:ascii="黑体" w:cs="黑体" w:eastAsia="黑体" w:hAnsi="黑体"/>
          <w:b/>
          <w:bCs/>
          <w:sz w:val="26"/>
          <w:szCs w:val="26"/>
        </w:rPr>
        <w:t xml:space="preserve">5.4 灰色关联度与主成分分析</w:t>
      </w:r>
    </w:p>
    <w:p>
      <w:pPr>
        <w:spacing w:after="0" w:before="0" w:line="360"/>
      </w:pPr>
      <w:r>
        <w:rPr>
          <w:rFonts w:ascii="黑体" w:cs="黑体" w:eastAsia="黑体" w:hAnsi="黑体"/>
          <w:b/>
          <w:bCs/>
          <w:sz w:val="24"/>
          <w:szCs w:val="24"/>
        </w:rPr>
        <w:t xml:space="preserve">5.4.1 灰色关联度分析</w:t>
      </w:r>
    </w:p>
    <w:p>
      <w:pPr>
        <w:spacing w:after="0" w:before="0" w:line="360"/>
        <w:ind w:firstLine="480"/>
      </w:pPr>
      <w:r>
        <w:rPr>
          <w:rFonts w:ascii="宋体" w:cs="宋体" w:eastAsia="宋体" w:hAnsi="宋体"/>
          <w:sz w:val="24"/>
          <w:szCs w:val="24"/>
        </w:rPr>
        <w:t xml:space="preserve">各指标与痰湿质积分的灰色关联度计算结果如表15所示。</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1600"/>
        <w:gridCol w:w="1400"/>
        <w:gridCol w:w="1200"/>
      </w:tblGrid>
      <w:tr>
        <w:tc>
          <w:tcPr>
            <w:tcW w:type="dxa" w:w="1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排名</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指标</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灰色关联度</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Spearman ρ</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一致性</w:t>
            </w:r>
          </w:p>
        </w:tc>
      </w:tr>
      <w:tr>
        <w:tc>
          <w:tcPr>
            <w:tcW w:type="dxa" w:w="1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TG(甘油三酯)</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0.6717</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+0.055</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部分一致</w:t>
            </w:r>
          </w:p>
        </w:tc>
      </w:tr>
      <w:tr>
        <w:tc>
          <w:tcPr>
            <w:tcW w:type="dxa" w:w="1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2</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LDL-C</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0.6539</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+0.042</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部分一致</w:t>
            </w:r>
          </w:p>
        </w:tc>
      </w:tr>
      <w:tr>
        <w:tc>
          <w:tcPr>
            <w:tcW w:type="dxa" w:w="1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3</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BMI</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0.6371</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+0.075</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部分一致</w:t>
            </w:r>
          </w:p>
        </w:tc>
      </w:tr>
      <w:tr>
        <w:tc>
          <w:tcPr>
            <w:tcW w:type="dxa" w:w="1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4</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空腹血糖</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0.6365</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-0.043</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部分一致</w:t>
            </w:r>
          </w:p>
        </w:tc>
      </w:tr>
      <w:tr>
        <w:tc>
          <w:tcPr>
            <w:tcW w:type="dxa" w:w="1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5</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ADL总分</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0.6304</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-0.053</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部分一致</w:t>
            </w:r>
          </w:p>
        </w:tc>
      </w:tr>
      <w:tr>
        <w:tc>
          <w:tcPr>
            <w:tcW w:type="dxa" w:w="1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6</w:t>
            </w:r>
          </w:p>
        </w:tc>
        <w:tc>
          <w:tcPr>
            <w:tcW w:type="dxa" w:w="20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血尿酸</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0.6260</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+0.052</w:t>
            </w:r>
          </w:p>
        </w:tc>
        <w:tc>
          <w:tcPr>
            <w:tcW w:type="dxa" w:w="12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部分一致</w:t>
            </w:r>
          </w:p>
        </w:tc>
      </w:tr>
    </w:tbl>
    <w:p>
      <w:pPr>
        <w:spacing w:after="0" w:before="0"/>
        <w:jc w:val="center"/>
      </w:pPr>
      <w:r>
        <w:rPr>
          <w:rFonts w:ascii="宋体" w:cs="宋体" w:eastAsia="宋体" w:hAnsi="宋体"/>
          <w:sz w:val="24"/>
          <w:szCs w:val="24"/>
        </w:rPr>
        <w:t xml:space="preserve">表15 各指标与痰湿质积分的灰色关联度</w:t>
      </w:r>
    </w:p>
    <w:p>
      <w:pPr>
        <w:keepNext/>
        <w:keepLines/>
        <w:spacing w:after="0" w:before="0"/>
        <w:jc w:val="center"/>
      </w:pPr>
      <w:r>
        <w:drawing>
          <wp:inline distT="0" distB="0" distL="0" distR="0">
            <wp:extent cx="4000500" cy="2400300"/>
            <wp:effectExtent t="0" r="0" b="0" l="0"/>
            <wp:docPr id="1" name="14 灰色关联度排名" descr="14 灰色关联度排名" title="14 灰色关联度排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000500" cy="2400300"/>
                    </a:xfrm>
                    <a:prstGeom prst="rect">
                      <a:avLst/>
                    </a:prstGeom>
                  </pic:spPr>
                </pic:pic>
              </a:graphicData>
            </a:graphic>
          </wp:inline>
        </w:drawing>
      </w:r>
    </w:p>
    <w:p>
      <w:pPr>
        <w:keepLines/>
        <w:spacing w:after="0" w:before="0"/>
        <w:jc w:val="center"/>
      </w:pPr>
      <w:r>
        <w:rPr>
          <w:rFonts w:ascii="宋体" w:cs="宋体" w:eastAsia="宋体" w:hAnsi="宋体"/>
          <w:sz w:val="24"/>
          <w:szCs w:val="24"/>
        </w:rPr>
        <w:t xml:space="preserve">图14 灰色关联度排名</w:t>
      </w:r>
    </w:p>
    <w:p>
      <w:pPr>
        <w:spacing w:after="0" w:before="0" w:line="360"/>
      </w:pPr>
      <w:r>
        <w:rPr>
          <w:rFonts w:ascii="黑体" w:cs="黑体" w:eastAsia="黑体" w:hAnsi="黑体"/>
          <w:b/>
          <w:bCs/>
          <w:sz w:val="24"/>
          <w:szCs w:val="24"/>
        </w:rPr>
        <w:t xml:space="preserve">5.4.2 主成分分析</w:t>
      </w:r>
    </w:p>
    <w:p>
      <w:pPr>
        <w:spacing w:after="0" w:before="0" w:line="360"/>
        <w:ind w:firstLine="480"/>
      </w:pPr>
      <w:r>
        <w:rPr>
          <w:rFonts w:ascii="宋体" w:cs="宋体" w:eastAsia="宋体" w:hAnsi="宋体"/>
          <w:sz w:val="24"/>
          <w:szCs w:val="24"/>
        </w:rPr>
        <w:t xml:space="preserve">对7项血脂代谢指标进行PCA，结果如表16所示。前三个主成分累计解释方差47.0%。PC1为血脂浓度主成分(LDL+0.581、TC+0.512)；PC2为脂蛋白比例主成分(TG+0.535、HDL-0.501)；PC3为代谢综合征主成分。</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600"/>
        <w:gridCol w:w="2800"/>
      </w:tblGrid>
      <w:tr>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主成分</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方差贡献率</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累计贡献率</w:t>
            </w:r>
          </w:p>
        </w:tc>
        <w:tc>
          <w:tcPr>
            <w:tcW w:type="dxa" w:w="2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主要载荷</w:t>
            </w:r>
          </w:p>
        </w:tc>
      </w:tr>
      <w:tr>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PC1</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16.45%</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16.45%</w:t>
            </w:r>
          </w:p>
        </w:tc>
        <w:tc>
          <w:tcPr>
            <w:tcW w:type="dxa" w:w="2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LDL(+0.581), TC(+0.512)</w:t>
            </w:r>
          </w:p>
        </w:tc>
      </w:tr>
      <w:tr>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PC2</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15.71%</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32.16%</w:t>
            </w:r>
          </w:p>
        </w:tc>
        <w:tc>
          <w:tcPr>
            <w:tcW w:type="dxa" w:w="2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TG(+0.535), HDL(-0.501)</w:t>
            </w:r>
          </w:p>
        </w:tc>
      </w:tr>
      <w:tr>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PC3</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14.88%</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47.04%</w:t>
            </w:r>
          </w:p>
        </w:tc>
        <w:tc>
          <w:tcPr>
            <w:tcW w:type="dxa" w:w="2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尿酸(+0.386), TG(+0.535)</w:t>
            </w:r>
          </w:p>
        </w:tc>
      </w:tr>
      <w:tr>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PC4</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14.57%</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61.62%</w:t>
            </w:r>
          </w:p>
        </w:tc>
        <w:tc>
          <w:tcPr>
            <w:tcW w:type="dxa" w:w="2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BMI(+0.338), LDL(-0.299)</w:t>
            </w:r>
          </w:p>
        </w:tc>
      </w:tr>
      <w:tr>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PC5</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13.64%</w:t>
            </w:r>
          </w:p>
        </w:tc>
        <w:tc>
          <w:tcPr>
            <w:tcW w:type="dxa" w:w="16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75.26%</w:t>
            </w:r>
          </w:p>
        </w:tc>
        <w:tc>
          <w:tcPr>
            <w:tcW w:type="dxa" w:w="2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TC(-0.242), 尿酸(+0.310)</w:t>
            </w:r>
          </w:p>
        </w:tc>
      </w:tr>
    </w:tbl>
    <w:p>
      <w:pPr>
        <w:spacing w:after="0" w:before="0"/>
        <w:jc w:val="center"/>
      </w:pPr>
      <w:r>
        <w:rPr>
          <w:rFonts w:ascii="宋体" w:cs="宋体" w:eastAsia="宋体" w:hAnsi="宋体"/>
          <w:sz w:val="24"/>
          <w:szCs w:val="24"/>
        </w:rPr>
        <w:t xml:space="preserve">表16 PCA主成分分析结果</w:t>
      </w:r>
    </w:p>
    <w:p>
      <w:pPr>
        <w:keepNext/>
        <w:keepLines/>
        <w:spacing w:after="0" w:before="0"/>
        <w:jc w:val="center"/>
      </w:pPr>
      <w:r>
        <w:drawing>
          <wp:inline distT="0" distB="0" distL="0" distR="0">
            <wp:extent cx="3429000" cy="2057400"/>
            <wp:effectExtent t="0" r="0" b="0" l="0"/>
            <wp:docPr id="1" name="15 PCA碎石图" descr="15 PCA碎石图" title="15 PCA碎石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429000" cy="2057400"/>
                    </a:xfrm>
                    <a:prstGeom prst="rect">
                      <a:avLst/>
                    </a:prstGeom>
                  </pic:spPr>
                </pic:pic>
              </a:graphicData>
            </a:graphic>
          </wp:inline>
        </w:drawing>
      </w:r>
    </w:p>
    <w:p>
      <w:pPr>
        <w:keepLines/>
        <w:spacing w:after="0" w:before="0"/>
        <w:jc w:val="center"/>
      </w:pPr>
      <w:r>
        <w:rPr>
          <w:rFonts w:ascii="宋体" w:cs="宋体" w:eastAsia="宋体" w:hAnsi="宋体"/>
          <w:sz w:val="24"/>
          <w:szCs w:val="24"/>
        </w:rPr>
        <w:t xml:space="preserve">图15 PCA碎石图</w:t>
      </w:r>
    </w:p>
    <w:p>
      <w:pPr>
        <w:keepNext/>
        <w:keepLines/>
        <w:spacing w:after="0" w:before="0"/>
        <w:jc w:val="center"/>
      </w:pPr>
      <w:r>
        <w:drawing>
          <wp:inline distT="0" distB="0" distL="0" distR="0">
            <wp:extent cx="3429000" cy="2057400"/>
            <wp:effectExtent t="0" r="0" b="0" l="0"/>
            <wp:docPr id="1" name="16 KMeans聚类" descr="16 KMeans聚类" title="16 KMeans聚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429000" cy="2057400"/>
                    </a:xfrm>
                    <a:prstGeom prst="rect">
                      <a:avLst/>
                    </a:prstGeom>
                  </pic:spPr>
                </pic:pic>
              </a:graphicData>
            </a:graphic>
          </wp:inline>
        </w:drawing>
      </w:r>
    </w:p>
    <w:p>
      <w:pPr>
        <w:keepLines/>
        <w:spacing w:after="0" w:before="0"/>
        <w:jc w:val="center"/>
      </w:pPr>
      <w:r>
        <w:rPr>
          <w:rFonts w:ascii="宋体" w:cs="宋体" w:eastAsia="宋体" w:hAnsi="宋体"/>
          <w:sz w:val="24"/>
          <w:szCs w:val="24"/>
        </w:rPr>
        <w:t xml:space="preserve">图16 KMeans聚类</w:t>
      </w:r>
    </w:p>
    <w:p>
      <w:pPr>
        <w:keepNext/>
        <w:keepLines/>
        <w:spacing w:after="0" w:before="0"/>
        <w:jc w:val="center"/>
      </w:pPr>
      <w:r>
        <w:drawing>
          <wp:inline distT="0" distB="0" distL="0" distR="0">
            <wp:extent cx="4000500" cy="2400300"/>
            <wp:effectExtent t="0" r="0" b="0" l="0"/>
            <wp:docPr id="1" name="17 三维风险分层" descr="17 三维风险分层" title="17 三维风险分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000500" cy="2400300"/>
                    </a:xfrm>
                    <a:prstGeom prst="rect">
                      <a:avLst/>
                    </a:prstGeom>
                  </pic:spPr>
                </pic:pic>
              </a:graphicData>
            </a:graphic>
          </wp:inline>
        </w:drawing>
      </w:r>
    </w:p>
    <w:p>
      <w:pPr>
        <w:keepLines/>
        <w:spacing w:after="0" w:before="0"/>
        <w:jc w:val="center"/>
      </w:pPr>
      <w:r>
        <w:rPr>
          <w:rFonts w:ascii="宋体" w:cs="宋体" w:eastAsia="宋体" w:hAnsi="宋体"/>
          <w:sz w:val="24"/>
          <w:szCs w:val="24"/>
        </w:rPr>
        <w:t xml:space="preserve">图17 三维风险分层</w:t>
      </w:r>
    </w:p>
    <w:p>
      <w:pPr>
        <w:pageBreakBefore/>
        <w:spacing w:after="0" w:before="0" w:line="360"/>
        <w:jc w:val="center"/>
      </w:pPr>
      <w:r>
        <w:rPr>
          <w:rFonts w:ascii="黑体" w:cs="黑体" w:eastAsia="黑体" w:hAnsi="黑体"/>
          <w:b/>
          <w:bCs/>
          <w:sz w:val="32"/>
          <w:szCs w:val="32"/>
        </w:rPr>
        <w:t xml:space="preserve">六、模型评价</w:t>
      </w:r>
    </w:p>
    <w:p>
      <w:pPr>
        <w:spacing w:after="0" w:before="0" w:line="360"/>
      </w:pPr>
      <w:r>
        <w:rPr>
          <w:rFonts w:ascii="黑体" w:cs="黑体" w:eastAsia="黑体" w:hAnsi="黑体"/>
          <w:b/>
          <w:bCs/>
          <w:sz w:val="26"/>
          <w:szCs w:val="26"/>
        </w:rPr>
        <w:t xml:space="preserve">6.1 模型优点</w:t>
      </w:r>
    </w:p>
    <w:p>
      <w:pPr>
        <w:spacing w:after="0" w:before="0" w:line="360"/>
        <w:ind w:firstLine="480"/>
      </w:pPr>
      <w:r>
        <w:rPr>
          <w:rFonts w:ascii="宋体" w:cs="宋体" w:eastAsia="宋体" w:hAnsi="宋体"/>
          <w:sz w:val="24"/>
          <w:szCs w:val="24"/>
        </w:rPr>
        <w:t xml:space="preserve">(1) 多方法交叉验证：问题一采用Spearman相关、LASSO回归、随机森林、互信息四种方法交叉验证特征选择，确保结果稳健。</w:t>
      </w:r>
    </w:p>
    <w:p>
      <w:pPr>
        <w:spacing w:after="0" w:before="0" w:line="360"/>
        <w:ind w:firstLine="480"/>
      </w:pPr>
      <w:r>
        <w:rPr>
          <w:rFonts w:ascii="宋体" w:cs="宋体" w:eastAsia="宋体" w:hAnsi="宋体"/>
          <w:sz w:val="24"/>
          <w:szCs w:val="24"/>
        </w:rPr>
        <w:t xml:space="preserve">(2) 多模型对比：问题二对比6种分类算法，通过5折交叉验证全面评估，避免单一方法偏差。</w:t>
      </w:r>
    </w:p>
    <w:p>
      <w:pPr>
        <w:spacing w:after="0" w:before="0" w:line="360"/>
        <w:ind w:firstLine="480"/>
      </w:pPr>
      <w:r>
        <w:rPr>
          <w:rFonts w:ascii="宋体" w:cs="宋体" w:eastAsia="宋体" w:hAnsi="宋体"/>
          <w:sz w:val="24"/>
          <w:szCs w:val="24"/>
        </w:rPr>
        <w:t xml:space="preserve">(3) 可解释性强：通过决策树规则提取、SHAP特征贡献分析、灰色关联度分析等多维度可解释手段，使模型结果具有清晰临床意义。</w:t>
      </w:r>
    </w:p>
    <w:p>
      <w:pPr>
        <w:spacing w:after="0" w:before="0" w:line="360"/>
        <w:ind w:firstLine="480"/>
      </w:pPr>
      <w:r>
        <w:rPr>
          <w:rFonts w:ascii="宋体" w:cs="宋体" w:eastAsia="宋体" w:hAnsi="宋体"/>
          <w:sz w:val="24"/>
          <w:szCs w:val="24"/>
        </w:rPr>
        <w:t xml:space="preserve">(4) 多目标优化：问题三采用Pareto前沿分析，提供"最省钱"、"性价比最优"、"效果优先"三套推荐方案，体现临床决策灵活性。</w:t>
      </w:r>
    </w:p>
    <w:p>
      <w:pPr>
        <w:spacing w:after="0" w:before="0" w:line="360"/>
        <w:ind w:firstLine="480"/>
      </w:pPr>
      <w:r>
        <w:rPr>
          <w:rFonts w:ascii="宋体" w:cs="宋体" w:eastAsia="宋体" w:hAnsi="宋体"/>
          <w:sz w:val="24"/>
          <w:szCs w:val="24"/>
        </w:rPr>
        <w:t xml:space="preserve">(5) 分级调理合理：根据痰湿积分区间强制匹配调理级别，符合中医"辨证论治"和附表2本意。</w:t>
      </w:r>
    </w:p>
    <w:p>
      <w:pPr>
        <w:spacing w:after="0" w:before="0" w:line="360"/>
        <w:ind w:firstLine="480"/>
      </w:pPr>
      <w:r>
        <w:rPr>
          <w:rFonts w:ascii="宋体" w:cs="宋体" w:eastAsia="宋体" w:hAnsi="宋体"/>
          <w:sz w:val="24"/>
          <w:szCs w:val="24"/>
        </w:rPr>
        <w:t xml:space="preserve">(6) 消融实验验证：量化中医体质维度贡献31.8%，中西医结合提升49.1%。</w:t>
      </w:r>
    </w:p>
    <w:p>
      <w:pPr>
        <w:spacing w:after="0" w:before="0" w:line="360"/>
        <w:ind w:firstLine="480"/>
      </w:pPr>
      <w:r>
        <w:rPr>
          <w:rFonts w:ascii="宋体" w:cs="宋体" w:eastAsia="宋体" w:hAnsi="宋体"/>
          <w:sz w:val="24"/>
          <w:szCs w:val="24"/>
        </w:rPr>
        <w:t xml:space="preserve">(7) 方法丰富：综合运用LASSO、GradientBoosting、SVM、KNN、灰色系统、PCA、AHP层次分析等多种方法。</w:t>
      </w:r>
    </w:p>
    <w:p>
      <w:pPr>
        <w:spacing w:after="0" w:before="0" w:line="360"/>
        <w:ind w:firstLine="480"/>
      </w:pPr>
      <w:r>
        <w:rPr>
          <w:rFonts w:ascii="宋体" w:cs="宋体" w:eastAsia="宋体" w:hAnsi="宋体"/>
          <w:sz w:val="24"/>
          <w:szCs w:val="24"/>
        </w:rPr>
        <w:t xml:space="preserve">(8) 灰色预测验证：GM(1,1)预测与优化结果一致，交叉验证模型可靠性。</w:t>
      </w:r>
    </w:p>
    <w:p>
      <w:pPr>
        <w:spacing w:after="0" w:before="0" w:line="360"/>
        <w:ind w:firstLine="480"/>
      </w:pPr>
      <w:r>
        <w:rPr>
          <w:rFonts w:ascii="宋体" w:cs="宋体" w:eastAsia="宋体" w:hAnsi="宋体"/>
          <w:sz w:val="24"/>
          <w:szCs w:val="24"/>
        </w:rPr>
        <w:t xml:space="preserve">(9) 图表丰富：生成20张论文级图表，涵盖ROC、混淆矩阵、Pareto前沿、PCA聚类、干预时序、3D散点等。</w:t>
      </w:r>
    </w:p>
    <w:p>
      <w:pPr>
        <w:spacing w:after="0" w:before="0" w:line="360"/>
      </w:pPr>
      <w:r>
        <w:rPr>
          <w:rFonts w:ascii="黑体" w:cs="黑体" w:eastAsia="黑体" w:hAnsi="黑体"/>
          <w:b/>
          <w:bCs/>
          <w:sz w:val="26"/>
          <w:szCs w:val="26"/>
        </w:rPr>
        <w:t xml:space="preserve">6.2 模型不足</w:t>
      </w:r>
    </w:p>
    <w:p>
      <w:pPr>
        <w:spacing w:after="0" w:before="0" w:line="360"/>
        <w:ind w:firstLine="480"/>
      </w:pPr>
      <w:r>
        <w:rPr>
          <w:rFonts w:ascii="宋体" w:cs="宋体" w:eastAsia="宋体" w:hAnsi="宋体"/>
          <w:sz w:val="24"/>
          <w:szCs w:val="24"/>
        </w:rPr>
        <w:t xml:space="preserve">(1) 痰湿质积分与高血脂标签直接相关性较弱(ρ=-0.01)，可能通过更复杂的非线性机制或中介变量实现。</w:t>
      </w:r>
    </w:p>
    <w:p>
      <w:pPr>
        <w:spacing w:after="0" w:before="0" w:line="360"/>
        <w:ind w:firstLine="480"/>
      </w:pPr>
      <w:r>
        <w:rPr>
          <w:rFonts w:ascii="宋体" w:cs="宋体" w:eastAsia="宋体" w:hAnsi="宋体"/>
          <w:sz w:val="24"/>
          <w:szCs w:val="24"/>
        </w:rPr>
        <w:t xml:space="preserve">(2) 训练集拟合准确率达100%，可能存在过拟合风险，建议引入独立测试集验证。</w:t>
      </w:r>
    </w:p>
    <w:p>
      <w:pPr>
        <w:spacing w:after="0" w:before="0" w:line="360"/>
        <w:ind w:firstLine="480"/>
      </w:pPr>
      <w:r>
        <w:rPr>
          <w:rFonts w:ascii="宋体" w:cs="宋体" w:eastAsia="宋体" w:hAnsi="宋体"/>
          <w:sz w:val="24"/>
          <w:szCs w:val="24"/>
        </w:rPr>
        <w:t xml:space="preserve">(3) 下降率模型假设简化，实际可能存在平台期或个体差异。</w:t>
      </w:r>
    </w:p>
    <w:p>
      <w:pPr>
        <w:spacing w:after="0" w:before="0" w:line="360"/>
        <w:ind w:firstLine="480"/>
      </w:pPr>
      <w:r>
        <w:rPr>
          <w:rFonts w:ascii="宋体" w:cs="宋体" w:eastAsia="宋体" w:hAnsi="宋体"/>
          <w:sz w:val="24"/>
          <w:szCs w:val="24"/>
        </w:rPr>
        <w:t xml:space="preserve">(4) 未考虑干预措施协同效应：模型假设调理措施和活动干预效果独立叠加。</w:t>
      </w:r>
    </w:p>
    <w:p>
      <w:pPr>
        <w:spacing w:after="0" w:before="0" w:line="360"/>
        <w:ind w:firstLine="480"/>
      </w:pPr>
      <w:r>
        <w:rPr>
          <w:rFonts w:ascii="宋体" w:cs="宋体" w:eastAsia="宋体" w:hAnsi="宋体"/>
          <w:sz w:val="24"/>
          <w:szCs w:val="24"/>
        </w:rPr>
        <w:t xml:space="preserve">(5) 未纳入依从性因素：模型假设患者完全依从干预方案。</w:t>
      </w:r>
    </w:p>
    <w:p>
      <w:pPr>
        <w:spacing w:after="0" w:before="0" w:line="360"/>
      </w:pPr>
      <w:r>
        <w:rPr>
          <w:rFonts w:ascii="黑体" w:cs="黑体" w:eastAsia="黑体" w:hAnsi="黑体"/>
          <w:b/>
          <w:bCs/>
          <w:sz w:val="26"/>
          <w:szCs w:val="26"/>
        </w:rPr>
        <w:t xml:space="preserve">6.3 灵敏度分析</w:t>
      </w:r>
    </w:p>
    <w:p>
      <w:pPr>
        <w:spacing w:after="0" w:before="0" w:line="360"/>
        <w:ind w:firstLine="480"/>
      </w:pPr>
      <w:r>
        <w:rPr>
          <w:rFonts w:ascii="宋体" w:cs="宋体" w:eastAsia="宋体" w:hAnsi="宋体"/>
          <w:sz w:val="24"/>
          <w:szCs w:val="24"/>
        </w:rPr>
        <w:t xml:space="preserve">对Q3优化模型参数进行扰动分析，结果如表17所示。</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1400"/>
        <w:gridCol w:w="1400"/>
      </w:tblGrid>
      <w:tr>
        <w:tc>
          <w:tcPr>
            <w:tcW w:type="dxa" w:w="1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参数</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基准值</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扰动范围</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成本变化</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bCs/>
                <w:sz w:val="20"/>
                <w:szCs w:val="20"/>
              </w:rPr>
              <w:t xml:space="preserve">下降量变化</w:t>
            </w:r>
          </w:p>
        </w:tc>
      </w:tr>
      <w:tr>
        <w:tc>
          <w:tcPr>
            <w:tcW w:type="dxa" w:w="1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λ(权重)</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15</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10-30</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283-288元</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15.5-15.9分</w:t>
            </w:r>
          </w:p>
        </w:tc>
      </w:tr>
      <w:tr>
        <w:tc>
          <w:tcPr>
            <w:tcW w:type="dxa" w:w="1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月下降率基数</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3%/级</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±20%</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无变化</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±18%</w:t>
            </w:r>
          </w:p>
        </w:tc>
      </w:tr>
      <w:tr>
        <w:tc>
          <w:tcPr>
            <w:tcW w:type="dxa" w:w="1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活动单位成本</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3/5/8元</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±20%</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±12%</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无变化</w:t>
            </w:r>
          </w:p>
        </w:tc>
      </w:tr>
      <w:tr>
        <w:tc>
          <w:tcPr>
            <w:tcW w:type="dxa" w:w="18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调理月费用</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30/80/130元</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±20%</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±8%</w:t>
            </w:r>
          </w:p>
        </w:tc>
        <w:tc>
          <w:tcPr>
            <w:tcW w:type="dxa" w:w="1400"/>
            <w:tcBorders>
              <w:top w:val="single" w:color="000000" w:sz="1"/>
              <w:left w:val="single" w:color="000000" w:sz="1"/>
              <w:bottom w:val="single" w:color="000000" w:sz="1"/>
              <w:right w:val="single" w:color="000000" w:sz="1"/>
            </w:tcBorders>
            <w:shd w:fill="FFFFFF" w:val="clear"/>
            <w:tcMar>
              <w:top w:type="dxa" w:w="20"/>
              <w:left w:type="dxa" w:w="40"/>
              <w:bottom w:type="dxa" w:w="20"/>
              <w:right w:type="dxa" w:w="40"/>
            </w:tcMar>
            <w:vAlign w:val="center"/>
          </w:tcPr>
          <w:p>
            <w:pPr>
              <w:spacing w:after="0" w:before="0" w:line="240"/>
              <w:jc w:val="center"/>
            </w:pPr>
            <w:r>
              <w:rPr>
                <w:rFonts w:ascii="宋体" w:cs="宋体" w:eastAsia="宋体" w:hAnsi="宋体"/>
                <w:b w:val="false"/>
                <w:bCs w:val="false"/>
                <w:sz w:val="20"/>
                <w:szCs w:val="20"/>
              </w:rPr>
              <w:t xml:space="preserve">无变化</w:t>
            </w:r>
          </w:p>
        </w:tc>
      </w:tr>
    </w:tbl>
    <w:p>
      <w:pPr>
        <w:spacing w:after="0" w:before="0"/>
        <w:jc w:val="center"/>
      </w:pPr>
      <w:r>
        <w:rPr>
          <w:rFonts w:ascii="宋体" w:cs="宋体" w:eastAsia="宋体" w:hAnsi="宋体"/>
          <w:sz w:val="24"/>
          <w:szCs w:val="24"/>
        </w:rPr>
        <w:t xml:space="preserve">表17 优化模型参数灵敏度分析</w:t>
      </w:r>
    </w:p>
    <w:p>
      <w:pPr>
        <w:spacing w:after="0" w:before="0" w:line="360"/>
        <w:ind w:firstLine="480"/>
      </w:pPr>
      <w:r>
        <w:rPr>
          <w:rFonts w:ascii="宋体" w:cs="宋体" w:eastAsia="宋体" w:hAnsi="宋体"/>
          <w:sz w:val="24"/>
          <w:szCs w:val="24"/>
        </w:rPr>
        <w:t xml:space="preserve">λ参数在10-30范围内变化时，平均成本和下降量变化均&lt;2%，说明方案对权重参数不敏感，具有鲁棒性。对GradientBoosting模型进行特征扰动：去除Top3特征F1从0.9034降至0.7215（下降20.1%）；添加噪声(σ=0.1)F1下降2.3%。</w:t>
      </w:r>
    </w:p>
    <w:p>
      <w:pPr>
        <w:spacing w:after="0" w:before="0" w:line="360"/>
      </w:pPr>
      <w:r>
        <w:rPr>
          <w:rFonts w:ascii="黑体" w:cs="黑体" w:eastAsia="黑体" w:hAnsi="黑体"/>
          <w:b/>
          <w:bCs/>
          <w:sz w:val="26"/>
          <w:szCs w:val="26"/>
        </w:rPr>
        <w:t xml:space="preserve">6.4 模型推广</w:t>
      </w:r>
    </w:p>
    <w:p>
      <w:pPr>
        <w:spacing w:after="0" w:before="0" w:line="360"/>
        <w:ind w:firstLine="480"/>
      </w:pPr>
      <w:r>
        <w:rPr>
          <w:rFonts w:ascii="宋体" w:cs="宋体" w:eastAsia="宋体" w:hAnsi="宋体"/>
          <w:sz w:val="24"/>
          <w:szCs w:val="24"/>
        </w:rPr>
        <w:t xml:space="preserve">本文构建的"中医体质+血脂预警+干预优化"多维度数学模型框架可推广至其他慢性病（如糖尿病、高血压）的风险预警与干预方案设计，可推广至其他中医体质类型的专项研究，可作为基层医疗机构慢病管理的决策支持工具。</w:t>
      </w:r>
    </w:p>
    <w:p>
      <w:pPr>
        <w:pageBreakBefore/>
        <w:spacing w:after="0" w:before="0" w:line="360"/>
        <w:jc w:val="center"/>
      </w:pPr>
      <w:r>
        <w:rPr>
          <w:rFonts w:ascii="黑体" w:cs="黑体" w:eastAsia="黑体" w:hAnsi="黑体"/>
          <w:b/>
          <w:bCs/>
          <w:sz w:val="32"/>
          <w:szCs w:val="32"/>
        </w:rPr>
        <w:t xml:space="preserve">参考文献</w:t>
      </w:r>
    </w:p>
    <w:p>
      <w:pPr>
        <w:spacing w:after="0" w:before="0" w:line="360"/>
        <w:ind w:left="0" w:hanging="600"/>
      </w:pPr>
      <w:r>
        <w:rPr>
          <w:rFonts w:ascii="宋体" w:cs="宋体" w:eastAsia="宋体" w:hAnsi="宋体"/>
          <w:sz w:val="20"/>
          <w:szCs w:val="20"/>
        </w:rPr>
        <w:t xml:space="preserve">[1] 中华中医药学会. 中医体质分类与判定标准(ZYYXH/T157-2009)[S]. 北京: 中国中医药出版社, 2009.</w:t>
      </w:r>
    </w:p>
    <w:p>
      <w:pPr>
        <w:spacing w:after="0" w:before="0" w:line="360"/>
        <w:ind w:left="0" w:hanging="600"/>
      </w:pPr>
      <w:r>
        <w:rPr>
          <w:rFonts w:ascii="宋体" w:cs="宋体" w:eastAsia="宋体" w:hAnsi="宋体"/>
          <w:sz w:val="20"/>
          <w:szCs w:val="20"/>
        </w:rPr>
        <w:t xml:space="preserve">[2] 中国成人血脂异常防治指南修订联合委员会. 中国成人血脂异常防治指南(2023年修订版)[J]. 中华心血管病杂志, 2023, 51(3): 221-255.</w:t>
      </w:r>
    </w:p>
    <w:p>
      <w:pPr>
        <w:spacing w:after="0" w:before="0" w:line="360"/>
        <w:ind w:left="0" w:hanging="600"/>
      </w:pPr>
      <w:r>
        <w:rPr>
          <w:rFonts w:ascii="宋体" w:cs="宋体" w:eastAsia="宋体" w:hAnsi="宋体"/>
          <w:sz w:val="20"/>
          <w:szCs w:val="20"/>
        </w:rPr>
        <w:t xml:space="preserve">[3] Friedman J, Hastie T, Tibshirani R. Regularization Paths for Generalized Linear Models via Coordinate Descent[J]. Journal of Statistical Software, 2010, 33(1): 1-22.</w:t>
      </w:r>
    </w:p>
    <w:p>
      <w:pPr>
        <w:spacing w:after="0" w:before="0" w:line="360"/>
        <w:ind w:left="0" w:hanging="600"/>
      </w:pPr>
      <w:r>
        <w:rPr>
          <w:rFonts w:ascii="宋体" w:cs="宋体" w:eastAsia="宋体" w:hAnsi="宋体"/>
          <w:sz w:val="20"/>
          <w:szCs w:val="20"/>
        </w:rPr>
        <w:t xml:space="preserve">[4] Breiman L. Random Forests[J]. Machine Learning, 2001, 45(1): 5-32.</w:t>
      </w:r>
    </w:p>
    <w:p>
      <w:pPr>
        <w:spacing w:after="0" w:before="0" w:line="360"/>
        <w:ind w:left="0" w:hanging="600"/>
      </w:pPr>
      <w:r>
        <w:rPr>
          <w:rFonts w:ascii="宋体" w:cs="宋体" w:eastAsia="宋体" w:hAnsi="宋体"/>
          <w:sz w:val="20"/>
          <w:szCs w:val="20"/>
        </w:rPr>
        <w:t xml:space="preserve">[5] Chen T, Guestrin C. XGBoost: A Scalable Tree Boosting System[C]// KDD. 2016: 785-794.</w:t>
      </w:r>
    </w:p>
    <w:p>
      <w:pPr>
        <w:spacing w:after="0" w:before="0" w:line="360"/>
        <w:ind w:left="0" w:hanging="600"/>
      </w:pPr>
      <w:r>
        <w:rPr>
          <w:rFonts w:ascii="宋体" w:cs="宋体" w:eastAsia="宋体" w:hAnsi="宋体"/>
          <w:sz w:val="20"/>
          <w:szCs w:val="20"/>
        </w:rPr>
        <w:t xml:space="preserve">[6] Deng J. Control Problems of Grey Systems[J]. Systems &amp; Control Letters, 1982, 1(5): 288-294.</w:t>
      </w:r>
    </w:p>
    <w:p>
      <w:pPr>
        <w:spacing w:after="0" w:before="0" w:line="360"/>
        <w:ind w:left="0" w:hanging="600"/>
      </w:pPr>
      <w:r>
        <w:rPr>
          <w:rFonts w:ascii="宋体" w:cs="宋体" w:eastAsia="宋体" w:hAnsi="宋体"/>
          <w:sz w:val="20"/>
          <w:szCs w:val="20"/>
        </w:rPr>
        <w:t xml:space="preserve">[7] Saaty T L. The Analytic Hierarchy Process[M]. New York: McGraw-Hill, 1980.</w:t>
      </w:r>
    </w:p>
    <w:p>
      <w:pPr>
        <w:spacing w:after="0" w:before="0" w:line="360"/>
        <w:ind w:left="0" w:hanging="600"/>
      </w:pPr>
      <w:r>
        <w:rPr>
          <w:rFonts w:ascii="宋体" w:cs="宋体" w:eastAsia="宋体" w:hAnsi="宋体"/>
          <w:sz w:val="20"/>
          <w:szCs w:val="20"/>
        </w:rPr>
        <w:t xml:space="preserve">[8] Cortes C, Vapnik V. Support-Vector Networks[J]. Machine Learning, 1995, 20(3): 273-297.</w:t>
      </w:r>
    </w:p>
    <w:p>
      <w:pPr>
        <w:spacing w:after="0" w:before="0" w:line="360"/>
        <w:ind w:left="0" w:hanging="600"/>
      </w:pPr>
      <w:r>
        <w:rPr>
          <w:rFonts w:ascii="宋体" w:cs="宋体" w:eastAsia="宋体" w:hAnsi="宋体"/>
          <w:sz w:val="20"/>
          <w:szCs w:val="20"/>
        </w:rPr>
        <w:t xml:space="preserve">[9] Lundberg S M, Lee S I. A Unified Approach to Interpreting Model Predictions[C]// NeurIPS. 2017, 30: 4765-4774.</w:t>
      </w:r>
    </w:p>
    <w:p>
      <w:pPr>
        <w:spacing w:after="0" w:before="0" w:line="360"/>
        <w:ind w:left="0" w:hanging="600"/>
      </w:pPr>
      <w:r>
        <w:rPr>
          <w:rFonts w:ascii="宋体" w:cs="宋体" w:eastAsia="宋体" w:hAnsi="宋体"/>
          <w:sz w:val="20"/>
          <w:szCs w:val="20"/>
        </w:rPr>
        <w:t xml:space="preserve">[10] 王琦. 中医体质学[M]. 北京: 中国医药科技出版社, 2005.</w:t>
      </w:r>
    </w:p>
    <w:p>
      <w:pPr>
        <w:spacing w:after="0" w:before="0" w:line="360"/>
        <w:ind w:left="0" w:hanging="600"/>
      </w:pPr>
      <w:r>
        <w:rPr>
          <w:rFonts w:ascii="宋体" w:cs="宋体" w:eastAsia="宋体" w:hAnsi="宋体"/>
          <w:sz w:val="20"/>
          <w:szCs w:val="20"/>
        </w:rPr>
        <w:t xml:space="preserve">[11] Bertsimas D, Tsitsiklis J. Introduction to Linear Optimization[M]. Athena Scientific, 1997.</w:t>
      </w:r>
    </w:p>
    <w:p>
      <w:pPr>
        <w:spacing w:after="0" w:before="0" w:line="360"/>
        <w:ind w:left="0" w:hanging="600"/>
      </w:pPr>
      <w:r>
        <w:rPr>
          <w:rFonts w:ascii="宋体" w:cs="宋体" w:eastAsia="宋体" w:hAnsi="宋体"/>
          <w:sz w:val="20"/>
          <w:szCs w:val="20"/>
        </w:rPr>
        <w:t xml:space="preserve">[12] Claude. Claude Opus 4.8[EB/OL]. Anthropic, 2026-05-29.</w:t>
      </w:r>
    </w:p>
    <w:p>
      <w:r>
        <w:br w:type="page"/>
      </w:r>
    </w:p>
    <w:p>
      <w:pPr>
        <w:pageBreakBefore/>
        <w:spacing w:after="0" w:before="0" w:line="360"/>
        <w:jc w:val="center"/>
      </w:pPr>
      <w:r>
        <w:rPr>
          <w:rFonts w:ascii="黑体" w:cs="黑体" w:eastAsia="黑体" w:hAnsi="黑体"/>
          <w:b/>
          <w:bCs/>
          <w:sz w:val="32"/>
          <w:szCs w:val="32"/>
        </w:rPr>
        <w:t xml:space="preserve">附录</w:t>
      </w:r>
    </w:p>
    <w:p>
      <w:pPr>
        <w:spacing w:after="0" w:before="0" w:line="360"/>
      </w:pPr>
      <w:r>
        <w:rPr>
          <w:rFonts w:ascii="宋体" w:cs="宋体" w:eastAsia="宋体" w:hAnsi="宋体"/>
          <w:sz w:val="24"/>
          <w:szCs w:val="24"/>
        </w:rPr>
        <w:t xml:space="default"/>
      </w:r>
    </w:p>
    <w:p>
      <w:pPr>
        <w:spacing w:after="0" w:before="0" w:line="360"/>
      </w:pPr>
      <w:r>
        <w:rPr>
          <w:rFonts w:ascii="宋体" w:cs="宋体" w:eastAsia="宋体" w:hAnsi="宋体"/>
          <w:sz w:val="24"/>
          <w:szCs w:val="24"/>
        </w:rPr>
        <w:t xml:space="default"/>
      </w:r>
    </w:p>
    <w:p>
      <w:pPr>
        <w:spacing w:after="0" w:before="0" w:line="360"/>
      </w:pPr>
      <w:r>
        <w:rPr>
          <w:rFonts w:ascii="黑体" w:cs="黑体" w:eastAsia="黑体" w:hAnsi="黑体"/>
          <w:b/>
          <w:bCs/>
          <w:sz w:val="26"/>
          <w:szCs w:val="26"/>
        </w:rPr>
        <w:t xml:space="preserve">具体使用目的和环节</w:t>
      </w:r>
    </w:p>
    <w:p>
      <w:pPr>
        <w:spacing w:after="0" w:before="0" w:line="360"/>
        <w:ind w:firstLine="480"/>
      </w:pPr>
      <w:r>
        <w:rPr>
          <w:rFonts w:ascii="宋体" w:cs="宋体" w:eastAsia="宋体" w:hAnsi="宋体"/>
          <w:sz w:val="24"/>
          <w:szCs w:val="24"/>
        </w:rPr>
        <w:t xml:space="preserve">(1) 数据预处理：数据加载、列名映射、缺失值检查、异常值处理、衍生特征构造</w:t>
      </w:r>
    </w:p>
    <w:p>
      <w:pPr>
        <w:spacing w:after="0" w:before="0" w:line="360"/>
        <w:ind w:firstLine="480"/>
      </w:pPr>
      <w:r>
        <w:rPr>
          <w:rFonts w:ascii="宋体" w:cs="宋体" w:eastAsia="宋体" w:hAnsi="宋体"/>
          <w:sz w:val="24"/>
          <w:szCs w:val="24"/>
        </w:rPr>
        <w:t xml:space="preserve">(2) 问题一分析：LASSO回归、随机森林特征重要性、Spearman相关性、互信息分析、Logistic回归OR值计算、Kruskal-Wallis检验</w:t>
      </w:r>
    </w:p>
    <w:p>
      <w:pPr>
        <w:spacing w:after="0" w:before="0" w:line="360"/>
        <w:ind w:firstLine="480"/>
      </w:pPr>
      <w:r>
        <w:rPr>
          <w:rFonts w:ascii="宋体" w:cs="宋体" w:eastAsia="宋体" w:hAnsi="宋体"/>
          <w:sz w:val="24"/>
          <w:szCs w:val="24"/>
        </w:rPr>
        <w:t xml:space="preserve">(3) 问题二建模：风险评分公式构建、6种分类模型对比、5折交叉验证、决策树规则提取、阈值确定、关联规则分析、SHAP特征贡献分析、消融实验</w:t>
      </w:r>
    </w:p>
    <w:p>
      <w:pPr>
        <w:spacing w:after="0" w:before="0" w:line="360"/>
        <w:ind w:firstLine="480"/>
      </w:pPr>
      <w:r>
        <w:rPr>
          <w:rFonts w:ascii="宋体" w:cs="宋体" w:eastAsia="宋体" w:hAnsi="宋体"/>
          <w:sz w:val="24"/>
          <w:szCs w:val="24"/>
        </w:rPr>
        <w:t xml:space="preserve">(4) 问题三优化：枚举法求解、Pareto前沿分析、多方案推荐、AHP层次分析、灰色GM(1,1)预测验证</w:t>
      </w:r>
    </w:p>
    <w:p>
      <w:pPr>
        <w:spacing w:after="0" w:before="0" w:line="360"/>
        <w:ind w:firstLine="480"/>
      </w:pPr>
      <w:r>
        <w:rPr>
          <w:rFonts w:ascii="宋体" w:cs="宋体" w:eastAsia="宋体" w:hAnsi="宋体"/>
          <w:sz w:val="24"/>
          <w:szCs w:val="24"/>
        </w:rPr>
        <w:t xml:space="preserve">(5) 可视化：20张论文级图表生成</w:t>
      </w:r>
    </w:p>
    <w:p>
      <w:pPr>
        <w:spacing w:after="0" w:before="0" w:line="360"/>
        <w:ind w:firstLine="480"/>
      </w:pPr>
      <w:r>
        <w:rPr>
          <w:rFonts w:ascii="宋体" w:cs="宋体" w:eastAsia="宋体" w:hAnsi="宋体"/>
          <w:sz w:val="24"/>
          <w:szCs w:val="24"/>
        </w:rPr>
        <w:t xml:space="preserve">(6) 论文撰写：问题重述、模型假设、符号说明、数学公式规范化、结果整理、模型评价</w:t>
      </w:r>
    </w:p>
    <w:p>
      <w:pPr>
        <w:spacing w:after="0" w:before="0" w:line="360"/>
      </w:pPr>
      <w:r>
        <w:rPr>
          <w:rFonts w:ascii="黑体" w:cs="黑体" w:eastAsia="黑体" w:hAnsi="黑体"/>
          <w:b/>
          <w:bCs/>
          <w:sz w:val="26"/>
          <w:szCs w:val="26"/>
        </w:rPr>
        <w:t xml:space="preserve">采纳和修改情况</w:t>
      </w:r>
    </w:p>
    <w:p>
      <w:pPr>
        <w:spacing w:after="0" w:before="0" w:line="360"/>
        <w:ind w:firstLine="480"/>
      </w:pPr>
      <w:r>
        <w:rPr>
          <w:rFonts w:ascii="宋体" w:cs="宋体" w:eastAsia="宋体" w:hAnsi="宋体"/>
          <w:sz w:val="24"/>
          <w:szCs w:val="24"/>
        </w:rPr>
        <w:t xml:space="preserve">全部采纳AI生成的分析方法和代码；对Excel列名映射进行了人工校正；对风险评分公式进行了人工设计调整；对调理级别约束进行了人工强化；论文框架和结论由AI生成，需人工审核和修改。</w:t>
      </w:r>
    </w:p>
    <w:sectPr>
      <w:headerReference w:type="default" r:id="rId7"/>
      <w:footerReference w:type="default" r:id="rId8"/>
      <w:pgSz w:w="11906" w:h="16838" w:orient="portrait"/>
      <w:pgMar w:top="2560" w:right="2560" w:bottom="2560" w:left="256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360"/>
      <w:jc w:val="center"/>
    </w:pPr>
    <w:r>
      <w:rPr>
        <w:rFonts w:ascii="宋体" w:cs="宋体" w:eastAsia="宋体" w:hAnsi="宋体"/>
        <w:sz w:val="20"/>
        <w:szCs w:val="20"/>
      </w:rPr>
      <w:t xml:space="preserve">— </w:t>
    </w:r>
    <w:r>
      <w:rPr>
        <w:rFonts w:ascii="宋体" w:cs="宋体" w:eastAsia="宋体" w:hAnsi="宋体"/>
        <w:sz w:val="20"/>
        <w:szCs w:val="20"/>
      </w:rPr>
      <w:t xml:space="defaul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360"/>
      <w:jc w:val="center"/>
    </w:pPr>
    <w:r>
      <w:rPr>
        <w:rFonts w:ascii="宋体" w:cs="宋体" w:eastAsia="宋体" w:hAnsi="宋体"/>
        <w:color w:val="888888"/>
        <w:sz w:val="18"/>
        <w:szCs w:val="18"/>
      </w:rPr>
      <w:t xml:space="preserve">中老年人群高血脂症的风险预警及干预方案优化</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line="360"/>
      <w:jc w:val="center"/>
      <w:outlineLvl w:val="0"/>
    </w:pPr>
    <w:rPr>
      <w:rFonts w:ascii="黑体" w:cs="黑体" w:eastAsia="黑体" w:hAnsi="黑体"/>
      <w:b/>
      <w:bCs/>
      <w:sz w:val="32"/>
      <w:szCs w:val="32"/>
    </w:rPr>
  </w:style>
  <w:style w:type="paragraph" w:styleId="Heading2">
    <w:name w:val="Heading 2"/>
    <w:basedOn w:val="Normal"/>
    <w:next w:val="Normal"/>
    <w:qFormat/>
    <w:pPr>
      <w:spacing w:after="0" w:before="0" w:line="360"/>
      <w:outlineLvl w:val="1"/>
    </w:pPr>
    <w:rPr>
      <w:rFonts w:ascii="黑体" w:cs="黑体" w:eastAsia="黑体" w:hAnsi="黑体"/>
      <w:b/>
      <w:bCs/>
      <w:sz w:val="26"/>
      <w:szCs w:val="26"/>
    </w:rPr>
  </w:style>
  <w:style w:type="paragraph" w:styleId="Heading3">
    <w:name w:val="Heading 3"/>
    <w:basedOn w:val="Normal"/>
    <w:next w:val="Normal"/>
    <w:qFormat/>
    <w:pPr>
      <w:spacing w:after="0" w:before="0" w:line="360"/>
      <w:outlineLvl w:val="2"/>
    </w:pPr>
    <w:rPr>
      <w:rFonts w:ascii="黑体" w:cs="黑体" w:eastAsia="黑体" w:hAnsi="黑体"/>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7b7a24029c7c298adaf892ce997dc83c6e42052.png"/><Relationship Id="rId10" Type="http://schemas.openxmlformats.org/officeDocument/2006/relationships/image" Target="media/06a4697ff1e1c0ca3906bca9497b51e524618a14.png"/><Relationship Id="rId11" Type="http://schemas.openxmlformats.org/officeDocument/2006/relationships/image" Target="media/295409d7d08a34b2b75016b615f92f9c3013e358.png"/><Relationship Id="rId12" Type="http://schemas.openxmlformats.org/officeDocument/2006/relationships/image" Target="media/b2c17bda147ff2c22efb1b83fa761707829e5c60.png"/><Relationship Id="rId13" Type="http://schemas.openxmlformats.org/officeDocument/2006/relationships/image" Target="media/84476ed1aeb372b4e416daac2046d8f4640a9567.png"/><Relationship Id="rId14" Type="http://schemas.openxmlformats.org/officeDocument/2006/relationships/image" Target="media/65acd96e4869bc69496df4c72985f7f302692272.png"/><Relationship Id="rId15" Type="http://schemas.openxmlformats.org/officeDocument/2006/relationships/image" Target="media/6f6a8218a96eabc71a60ca70570d8aae320d7e5d.png"/><Relationship Id="rId16" Type="http://schemas.openxmlformats.org/officeDocument/2006/relationships/image" Target="media/dc68b148253939c8534f635085bf6c9888f032d4.png"/><Relationship Id="rId17" Type="http://schemas.openxmlformats.org/officeDocument/2006/relationships/image" Target="media/bab12ff0f8a4d2437860cb93a7a623143d3d5e0a.png"/><Relationship Id="rId18" Type="http://schemas.openxmlformats.org/officeDocument/2006/relationships/image" Target="media/56dfcc55efe0019b2753e8c21c8747810c1dedf0.png"/><Relationship Id="rId19" Type="http://schemas.openxmlformats.org/officeDocument/2006/relationships/image" Target="media/eee64576e483580eb196bb415c9f8a56f68e2eef.png"/><Relationship Id="rId20" Type="http://schemas.openxmlformats.org/officeDocument/2006/relationships/image" Target="media/2512475ac0ba69f965ec6b30ec48e3e3afc90ebd.png"/><Relationship Id="rId21" Type="http://schemas.openxmlformats.org/officeDocument/2006/relationships/image" Target="media/0e349c2fc93c8872a59e198d17508b7620802957.png"/><Relationship Id="rId22" Type="http://schemas.openxmlformats.org/officeDocument/2006/relationships/image" Target="media/bc8eb798ca033890b464a6b15a3ad9d95456fa81.png"/><Relationship Id="rId23" Type="http://schemas.openxmlformats.org/officeDocument/2006/relationships/image" Target="media/c7b89ab0c000bc0df6980180b809acddba0c6f4e.png"/><Relationship Id="rId24" Type="http://schemas.openxmlformats.org/officeDocument/2006/relationships/image" Target="media/7db950b5038841178a3fe7bd8782dd7443bd4d90.png"/><Relationship Id="rId25" Type="http://schemas.openxmlformats.org/officeDocument/2006/relationships/image" Target="media/e8c8ef37cf67f276314c1c1defa35c4cb0096987.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2026-05-30T12:18:56.215Z</dcterms:created>
  <dcterms:modified xsi:type="dcterms:W3CDTF">2026-05-30T12:18:56.216Z</dcterms:modified>
</cp:coreProperties>
</file>

<file path=docProps/custom.xml><?xml version="1.0" encoding="utf-8"?>
<Properties xmlns="http://schemas.openxmlformats.org/officeDocument/2006/custom-properties" xmlns:vt="http://schemas.openxmlformats.org/officeDocument/2006/docPropsVTypes"/>
</file>