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25</w:t>
            </w:r>
          </w:p>
          <w:p>
            <w:pPr>
              <w:pStyle w:val="myParaStyle"/>
            </w:pPr>
            <w:r>
              <w:t xml:space="preserve">23</w:t>
            </w:r>
          </w:p>
          <w:p>
            <w:pPr>
              <w:pStyle w:val="myParaStyle"/>
            </w:pPr>
            <w:r>
              <w:t xml:space="preserve">2</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$3.34 per squareFeet</w:t>
            </w:r>
          </w:p>
          <w:p>
            <w:pPr>
              <w:pStyle w:val="myParaStyle"/>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7" o:title=""/>
                </v:shape>
              </w:pict>
            </w:r>
          </w:p>
          <w:p>
            <w:pPr/>
            <w:r>
              <w:rPr/>
              <w:t xml:space="preserve">  Figure 1: Ashphalt cul-de-sac.</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8" o:title=""/>
                </v:shape>
              </w:pict>
            </w:r>
          </w:p>
          <w:p>
            <w:pPr/>
            <w:r>
              <w:rPr/>
              <w:t xml:space="preserve">  Figure : Junction or transition between concrete rollover curbs and asphalt blacktop surface.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for the development, which is assumed to have a flexible basecoat and a hard top-coat continuous application over a bed of crushed rocks around storm drainage grates and grilles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were no known reported expenditures for this component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vegetation’s moisture cycles as big tree roots’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15</w:t>
            </w:r>
          </w:p>
          <w:p>
            <w:pPr>
              <w:pStyle w:val="myParaStyle"/>
            </w:pPr>
            <w:r>
              <w:t xml:space="preserve">35</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9" o:title=""/>
                </v:shape>
              </w:pict>
            </w:r>
          </w:p>
          <w:p>
            <w:pPr/>
            <w:r>
              <w:rPr/>
              <w:t xml:space="preserve">  Figure : Asphalt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0" o:title=""/>
                </v:shape>
              </w:pict>
            </w:r>
          </w:p>
          <w:p>
            <w:pPr/>
            <w:r>
              <w:rPr/>
              <w:t xml:space="preserve">  Figure : Asphalt roadway.</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stamped concrete area of the roadway at the entrance to the cul-de-sac.</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were no known reported expenditures for this component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 or as needed to protect the surface from stains and maintain color vibrancy helps to meet the stamped concrete’s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plant and miss growth, as well as some cracks. Accelerated deterioration may lead to a faster re-stamping than anticipated</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43</w:t>
            </w:r>
          </w:p>
          <w:p>
            <w:pPr>
              <w:pStyle w:val="myParaStyle"/>
            </w:pPr>
            <w:r>
              <w:t xml:space="preserve">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519 squareFeet</w:t>
            </w:r>
          </w:p>
          <w:p>
            <w:pPr>
              <w:pStyle w:val="myParaStyle"/>
            </w:pPr>
            <w:r>
              <w:t xml:space="preserve">$12.50 per squareFeet</w:t>
            </w:r>
          </w:p>
          <w:p>
            <w:pPr>
              <w:pStyle w:val="myParaStyle"/>
            </w:pPr>
            <w:r>
              <w:t xml:space="preserve">$6,487.50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plant and miss growth, as well as some cracks. Accelerated deterioration may lead to a faster re-stamping than anticipated</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1" o:title=""/>
                </v:shape>
              </w:pict>
            </w:r>
          </w:p>
          <w:p>
            <w:pPr/>
            <w:r>
              <w:rPr/>
              <w:t xml:space="preserve">  Figure : Stamped concrete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2" o:title=""/>
                </v:shape>
              </w:pict>
            </w:r>
          </w:p>
          <w:p>
            <w:pPr/>
            <w:r>
              <w:rPr/>
              <w:t xml:space="preserve">  Figure : Moss growth in stamped concrete grooving.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3" o:title=""/>
                </v:shape>
              </w:pict>
            </w:r>
          </w:p>
          <w:p>
            <w:pPr/>
            <w:r>
              <w:rPr/>
              <w:t xml:space="preserve">Figure 7: Uneven edge transition between the stamped concrete and the asphalt.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4" o:title=""/>
                </v:shape>
              </w:pict>
            </w:r>
          </w:p>
          <w:p>
            <w:pPr/>
            <w:r>
              <w:rPr/>
              <w:t xml:space="preserve">  Figure : Stamped concrete inset pattern detail.</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5" o:title=""/>
                </v:shape>
              </w:pict>
            </w:r>
          </w:p>
          <w:p>
            <w:pPr/>
            <w:r>
              <w:rPr/>
              <w:t xml:space="preserve">  Figure : Concrete cracking in the perimeter portion.</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6" o:title=""/>
                </v:shape>
              </w:pict>
            </w:r>
          </w:p>
          <w:p>
            <w:pPr/>
            <w:r>
              <w:rPr/>
              <w:t xml:space="preserve">  Figure : Junction between stamped concrete and concrete rollover curbs.</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included broom finished concrete rollover curb sections around the perimeter of the roadway, as well as the gutter, for the drainage of water to the gutter.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small amount of organic matter growth – that requires power-washing and some settlement cracks. We noted that wear surface sealant does not seem to have been applied</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15</w:t>
            </w:r>
          </w:p>
          <w:p>
            <w:pPr>
              <w:pStyle w:val="myParaStyle"/>
            </w:pPr>
            <w:r>
              <w:t xml:space="preserve">35</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570 linearFeet</w:t>
            </w:r>
          </w:p>
          <w:p>
            <w:pPr>
              <w:pStyle w:val="myParaStyle"/>
            </w:pPr>
            <w:r>
              <w:t xml:space="preserve">$32.58 per linearFeet</w:t>
            </w:r>
          </w:p>
          <w:p>
            <w:pPr>
              <w:pStyle w:val="myParaStyle"/>
            </w:pPr>
            <w:r>
              <w:t xml:space="preserve">$18,570.60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small amount of organic matter growth – that requires power-washing and some settlement cracks. We noted that wear surface sealant does not seem to have been applied</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7" o:title=""/>
                </v:shape>
              </w:pict>
            </w:r>
          </w:p>
          <w:p>
            <w:pPr/>
            <w:r>
              <w:rPr/>
              <w:t xml:space="preserve">Figure : Chipped concrete curb.</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8" o:title=""/>
                </v:shape>
              </w:pict>
            </w:r>
          </w:p>
          <w:p>
            <w:pPr/>
            <w:r>
              <w:rPr/>
              <w:t xml:space="preserve">Figure : Extended view of concrete curb and transition to asphalt roadway as well as an exposed  aggregate concrete driveway.</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r>
              <w:rPr/>
              <w:t xml:space="preserve">Figure : Curved internal curbing</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0" o:title=""/>
                </v:shape>
              </w:pict>
            </w:r>
          </w:p>
          <w:p>
            <w:pPr/>
            <w:r>
              <w:rPr/>
              <w:t xml:space="preserve">  Figure : Curved convex curbs facing out from the cul-de-sac at the entrance.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four (4) street lights in the cul de sac that are 20 feet in height and installed on concrete pads. A light timer installed behind the monument controls these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1992, other than a recent repair after a garbage truck damaged one street light post. This was paid out of the operating fund, and reimbursed later.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recommend that the strata council research new bulb technologies that use much less energy. It is assumed that the strata will periodically replace the bulbs and paint the poles as an expense from the operating fund.</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unit</w:t>
            </w:r>
          </w:p>
          <w:p>
            <w:pPr>
              <w:pStyle w:val="myParaStyle"/>
            </w:pPr>
            <w:r>
              <w:t xml:space="preserve">$2,500.00 per unit</w:t>
            </w:r>
          </w:p>
          <w:p>
            <w:pPr>
              <w:pStyle w:val="myParaStyle"/>
            </w:pPr>
            <w:r>
              <w:t xml:space="preserve">$2,500.00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recommend that the strata council research new bulb technologies that use much less energy. It is assumed that the strata will periodically replace the bulbs and paint the poles as an expense from the operating fund.</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1" o:title=""/>
                </v:shape>
              </w:pict>
            </w:r>
          </w:p>
          <w:p>
            <w:pPr/>
            <w:r>
              <w:rPr/>
              <w:t xml:space="preserve">Figure : Internal standard street light</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describes the masonry block walls surrounding the BC Hydro transformer installed on site within the strata corporation property lines.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Some blocks were out of place. Some repointing of the mortar would help to maintain this component to ensure its expected potential lifespan is met.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60</w:t>
            </w:r>
          </w:p>
          <w:p>
            <w:pPr>
              <w:pStyle w:val="myParaStyle"/>
            </w:pPr>
            <w:r>
              <w:t xml:space="preserve">22</w:t>
            </w:r>
          </w:p>
          <w:p>
            <w:pPr>
              <w:pStyle w:val="myParaStyle"/>
            </w:pPr>
            <w:r>
              <w:t xml:space="preserve">38</w:t>
            </w:r>
          </w:p>
          <w:p>
            <w:pPr>
              <w:pStyle w:val="myParaStyle"/>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192 squareFeet</w:t>
            </w:r>
          </w:p>
          <w:p>
            <w:pPr>
              <w:pStyle w:val="myParaStyle"/>
            </w:pPr>
            <w:r>
              <w:t xml:space="preserve">$35.00 per squareFeet</w:t>
            </w:r>
          </w:p>
          <w:p>
            <w:pPr>
              <w:pStyle w:val="myParaStyle"/>
            </w:pPr>
            <w:r>
              <w:t xml:space="preserve">$6,720.00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Some blocks were out of place. Some repointing of the mortar would help to maintain this component to ensure its expected potential lifespan is met.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2" o:title=""/>
                </v:shape>
              </w:pict>
            </w:r>
          </w:p>
          <w:p>
            <w:pPr/>
            <w:r>
              <w:rPr/>
              <w:t xml:space="preserve">Figure : Safety wall around transformer</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3" o:title=""/>
                </v:shape>
              </w:pict>
            </w:r>
          </w:p>
          <w:p>
            <w:pPr/>
            <w:r>
              <w:rPr/>
              <w:t xml:space="preserve">Figure : Close-up of transformer block wall with mortar at joints.</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4" o:title=""/>
                </v:shape>
              </w:pict>
            </w:r>
          </w:p>
          <w:p>
            <w:pPr/>
            <w:r>
              <w:rPr/>
              <w:t xml:space="preserve">Figure 18: Aerial view of cracking mortar inside the transformer enclosure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5" o:title=""/>
                </v:shape>
              </w:pict>
            </w:r>
          </w:p>
          <w:p>
            <w:pPr/>
            <w:r>
              <w:rPr/>
              <w:t xml:space="preserve">Figure 19: Transformer enclosure base course.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block and brick entry monument located at the vehicular entrance to the development. The monument is more than likely comprised of concrete blocks set on a concrete pad with mortared veneer.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 structural damage noted but the monument surfaces appear to be in need of cleaning and sealant.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22</w:t>
            </w:r>
          </w:p>
          <w:p>
            <w:pPr>
              <w:pStyle w:val="myParaStyle"/>
            </w:pPr>
            <w:r>
              <w:t xml:space="preserve">28</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unit</w:t>
            </w:r>
          </w:p>
          <w:p>
            <w:pPr>
              <w:pStyle w:val="myParaStyle"/>
            </w:pPr>
            <w:r>
              <w:t xml:space="preserve">$4,000.00 per unit</w:t>
            </w:r>
          </w:p>
          <w:p>
            <w:pPr>
              <w:pStyle w:val="myParaStyle"/>
            </w:pPr>
            <w:r>
              <w:t xml:space="preserve">$4,000.00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 structural damage noted but the monument surfaces appear to be in need of cleaning and sealant.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6" o:title=""/>
                </v:shape>
              </w:pict>
            </w:r>
          </w:p>
          <w:p>
            <w:pPr/>
            <w:r>
              <w:rPr/>
              <w:t xml:space="preserve">  Figure : Southwest view into the cul-de-sac towards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7" o:title=""/>
                </v:shape>
              </w:pict>
            </w:r>
          </w:p>
          <w:p>
            <w:pPr/>
            <w:r>
              <w:rPr/>
              <w:t xml:space="preserve">Figure : Brick wall cap detailing on monument.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8" o:title=""/>
                </v:shape>
              </w:pict>
            </w:r>
          </w:p>
          <w:p>
            <w:pPr/>
            <w:r>
              <w:rPr/>
              <w:t xml:space="preserve">  Figure : Moss growth in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9" o:title=""/>
                </v:shape>
              </w:pict>
            </w:r>
          </w:p>
          <w:p>
            <w:pPr/>
            <w:r>
              <w:rPr/>
              <w:t xml:space="preserve">Figure : Square pillar at the end of the monument.</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water system connected to the municipality’s main water system and includes piping, connectors and ancillary equipment.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reported expenditures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 noted or reported.</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unit</w:t>
            </w:r>
          </w:p>
          <w:p>
            <w:pPr>
              <w:pStyle w:val="myParaStyle"/>
            </w:pPr>
            <w:r>
              <w:t xml:space="preserve">$5,000.00 per unit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 noted or reported.</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site services and include assumed-to-be cast iron sanitary and storm drainage systems typically installed parallel to each other and connected to the municipality’s storm and sanitary systems.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reported expenditures since 1992.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 noted or reported.</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unit</w:t>
            </w:r>
          </w:p>
          <w:p>
            <w:pPr>
              <w:pStyle w:val="myParaStyle"/>
            </w:pPr>
            <w:r>
              <w:t xml:space="preserve">$5,000.00 per unit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 noted or reported.</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10 - Consultant Reports - Depreciation Report Updates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reserves for future Depreciation Reports in the Reserve Fund rather than out of the Operating Fund. This component builds reserves on an annual basis for meeting the Strata Property Act mandate of renewing the Depreciation Report every three-year cycle. We are assuming at this time that all future reports will be updated reports although we may anticipate that a full report may be required in the future as legislative changes occur.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1988.</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2014</w:t>
            </w:r>
          </w:p>
          <w:p>
            <w:pPr>
              <w:pStyle w:val="myParaStyle"/>
            </w:pPr>
            <w:r>
              <w:t xml:space="preserve">3</w:t>
            </w:r>
          </w:p>
          <w:p>
            <w:pPr>
              <w:pStyle w:val="myParaStyle"/>
            </w:pPr>
            <w:r>
              <w:t xml:space="preserve">0</w:t>
            </w:r>
          </w:p>
          <w:p>
            <w:pPr>
              <w:pStyle w:val="myParaStyle"/>
            </w:pPr>
            <w:r>
              <w:t xml:space="preserve">3</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unit</w:t>
            </w:r>
          </w:p>
          <w:p>
            <w:pPr>
              <w:pStyle w:val="myParaStyle"/>
            </w:pPr>
            <w:r>
              <w:t xml:space="preserve">$788.00 per unit</w:t>
            </w:r>
          </w:p>
          <w:p>
            <w:pPr>
              <w:pStyle w:val="myParaStyle"/>
            </w:pPr>
            <w:r>
              <w:t xml:space="preserve">$788.00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bl>
    <w:sectPr>
      <w:headerReference w:type="default" r:id="rId30"/>
      <w:pgSz w:orient="portrait" w:w="11870" w:h="16787"/>
      <w:pgMar w:top="1450" w:right="1450" w:bottom="1000" w:left="145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w:t>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pn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2015-12-04T07:40:57+00:00</dcterms:created>
  <dcterms:modified xsi:type="dcterms:W3CDTF">2015-12-04T07:40:57+00:00</dcterms:modified>
</cp:coreProperties>
</file>

<file path=docProps/custom.xml><?xml version="1.0" encoding="utf-8"?>
<Properties xmlns="http://schemas.openxmlformats.org/officeDocument/2006/custom-properties" xmlns:vt="http://schemas.openxmlformats.org/officeDocument/2006/docPropsVTypes"/>
</file>