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2500" w:type="dxa"/>
        <w:gridCol w:w="2500" w:type="dxa"/>
        <w:gridCol w:w="2500" w:type="dxa"/>
        <w:gridCol w:w="2500" w:type="dxa"/>
      </w:tblGrid>
      <w:tr>
        <w:trPr>
          <w:trHeight w:val="0" w:hRule="atLeast"/>
        </w:trPr>
        <w:tc>
          <w:tcPr>
            <w:tcW w:w="2500" w:type="dxa"/>
          </w:tcPr>
          <w:p/>
        </w:tc>
        <w:tc>
          <w:tcPr>
            <w:tcW w:w="2500" w:type="dxa"/>
          </w:tcPr>
          <w:p/>
        </w:tc>
        <w:tc>
          <w:tcPr>
            <w:tcW w:w="2500" w:type="dxa"/>
          </w:tcPr>
          <w:p/>
        </w:tc>
        <w:tc>
          <w:tcPr>
            <w:tcW w:w="2500" w:type="dxa"/>
          </w:tcPr>
          <w:p/>
        </w:tc>
      </w:tr>
      <w:tr>
        <w:trPr/>
        <w:tc>
          <w:tcPr>
            <w:tcW w:w="1" w:type="dxa"/>
            <w:tcBorders>
              <w:top w:val="single" w:sz="6" w:color="000000"/>
              <w:left w:val="single" w:sz="6" w:color="000000"/>
              <w:right w:val="single" w:sz="6" w:color="000000"/>
              <w:bottom w:val="single" w:sz="6" w:color="000000"/>
            </w:tcBorders>
            <w:gridSpan w:val="4"/>
          </w:tcPr>
          <w:p>
            <w:pPr>
              <w:pStyle w:val="myParaStyle"/>
            </w:pPr>
            <w:r>
              <w:rPr>
                <w:color w:val="000000"/>
                <w:sz w:val="20"/>
                <w:szCs w:val="20"/>
                <w:b/>
              </w:rPr>
              <w:t xml:space="preserve">COMPONENT 1 - Site Improvement - Asphalt Resurfacing</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Physical Description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Financial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Potential Deterioration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The asphalt paved areas are susceptible to indentations from vehicles, especially from heavy vehicles turning on the hot asphalt surface. Ground settling, and ponding water may cause cracking and alligatoring as well.</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Condition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Life Cycle Analysis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Date of Aquisition:</w:t>
            </w:r>
          </w:p>
          <w:p>
            <w:pPr>
              <w:pStyle w:val="myParaStyle"/>
            </w:pPr>
            <w:r>
              <w:t xml:space="preserve">Expected Lifespan: </w:t>
            </w:r>
          </w:p>
          <w:p>
            <w:pPr>
              <w:pStyle w:val="myParaStyle"/>
            </w:pPr>
            <w:r>
              <w:t xml:space="preserve">Effective Age: </w:t>
            </w:r>
          </w:p>
          <w:p>
            <w:pPr>
              <w:pStyle w:val="myParaStyle"/>
            </w:pPr>
            <w:r>
              <w:t xml:space="preserve">Remaining Lifespan: </w:t>
            </w:r>
          </w:p>
          <w:p>
            <w:pPr>
              <w:pStyle w:val="myParaStyle"/>
            </w:pPr>
            <w:r>
              <w:t xml:space="preserve">Estimated Year of Repair or Replacement:</w:t>
            </w:r>
          </w:p>
        </w:tc>
        <w:tc>
          <w:tcPr>
            <w:tcW w:w="1" w:type="dxa"/>
            <w:tcBorders>
              <w:top w:val="single" w:sz="6" w:color="000000"/>
              <w:left w:val="single" w:sz="6" w:color="000000"/>
              <w:right w:val="single" w:sz="6" w:color="000000"/>
              <w:bottom w:val="single" w:sz="6" w:color="000000"/>
            </w:tcBorders>
          </w:tcPr>
          <w:p>
            <w:pPr>
              <w:pStyle w:val="myParaStyle"/>
            </w:pPr>
            <w:r>
              <w:t xml:space="preserve">1995</w:t>
            </w:r>
          </w:p>
          <w:p>
            <w:pPr>
              <w:pStyle w:val="myParaStyle"/>
            </w:pPr>
            <w:r>
              <w:t xml:space="preserve">25</w:t>
            </w:r>
          </w:p>
          <w:p>
            <w:pPr>
              <w:pStyle w:val="myParaStyle"/>
            </w:pPr>
            <w:r>
              <w:t xml:space="preserve">20</w:t>
            </w:r>
          </w:p>
          <w:p>
            <w:pPr>
              <w:pStyle w:val="myParaStyle"/>
            </w:pPr>
            <w:r>
              <w:t xml:space="preserve">5</w:t>
            </w:r>
          </w:p>
          <w:p>
            <w:pPr>
              <w:pStyle w:val="myParaStyle"/>
            </w:pPr>
            <w:r>
              <w:t xml:space="preserve">2020</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Unit Quantity and Cost Estimates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Unit Quantity:</w:t>
            </w:r>
          </w:p>
          <w:p>
            <w:pPr>
              <w:pStyle w:val="myParaStyle"/>
            </w:pPr>
            <w:r>
              <w:t xml:space="preserve">Cost Estimate: </w:t>
            </w:r>
          </w:p>
          <w:p>
            <w:pPr>
              <w:pStyle w:val="myParaStyle"/>
            </w:pPr>
            <w:r>
              <w:t xml:space="preserve">Current Repair or Replacement Cost Estimate: </w:t>
            </w:r>
          </w:p>
        </w:tc>
        <w:tc>
          <w:tcPr>
            <w:tcW w:w="1" w:type="dxa"/>
            <w:tcBorders>
              <w:top w:val="single" w:sz="6" w:color="000000"/>
              <w:left w:val="single" w:sz="6" w:color="000000"/>
              <w:right w:val="single" w:sz="6" w:color="000000"/>
              <w:bottom w:val="single" w:sz="6" w:color="000000"/>
            </w:tcBorders>
          </w:tcPr>
          <w:p>
            <w:pPr>
              <w:pStyle w:val="myParaStyle"/>
            </w:pPr>
            <w:r>
              <w:t xml:space="preserve">2 squareFeet</w:t>
            </w:r>
          </w:p>
          <w:p>
            <w:pPr>
              <w:pStyle w:val="myParaStyle"/>
            </w:pPr>
            <w:r>
              <w:t xml:space="preserve">$3.34 per squareFeet</w:t>
            </w:r>
          </w:p>
          <w:p>
            <w:pPr>
              <w:pStyle w:val="myParaStyle"/>
            </w:pPr>
            <w:r>
              <w:t xml:space="preserve">$6.68</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Deficiency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bl>
    <w:sectPr>
      <w:headerReference w:type="default" r:id="rId7"/>
      <w:pgSz w:orient="portrait" w:w="11870" w:h="16787"/>
      <w:pgMar w:top="1450" w:right="1450" w:bottom="1000" w:left="145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000" w:type="dxa"/>
      <w:gridCol w:w="100" w:type="dxa"/>
    </w:tblGrid>
    <w:tr>
      <w:trPr/>
      <w:tc>
        <w:tcPr>
          <w:tcW w:w="8000" w:type="dxa"/>
        </w:tcPr>
        <w:p>
          <w:pPr>
            <w:pStyle w:val="myParaStyle"/>
          </w:pPr>
          <w:r>
            <w:rPr>
              <w:color w:val="000000"/>
              <w:sz w:val="16"/>
              <w:szCs w:val="16"/>
            </w:rPr>
            <w:t xml:space="preserve">Address: ad, ad, BC, d8d7f7</w:t>
          </w:r>
        </w:p>
        <w:p>
          <w:pPr>
            <w:pStyle w:val="myParaStyle"/>
          </w:pPr>
          <w:r>
            <w:rPr>
              <w:color w:val="000000"/>
              <w:sz w:val="16"/>
              <w:szCs w:val="16"/>
            </w:rPr>
            <w:t xml:space="preserve">Client: Strata Corporation ads						File No. 26</w:t>
          </w:r>
        </w:p>
        <w:p>
          <w:pPr>
            <w:pStyle w:val="myParaStyle"/>
          </w:pPr>
          <w:r>
            <w:rPr>
              <w:color w:val="000000"/>
              <w:sz w:val="16"/>
              <w:szCs w:val="16"/>
            </w:rPr>
            <w:t xml:space="preserve">STRATA RESERVE PLAN - a division of Bramwell &amp; Associates Realty Advisors Inc.   Tel: 604-608-6161</w:t>
          </w:r>
        </w:p>
        <w:p>
          <w:pPr>
            <w:pStyle w:val="myParaStyle"/>
          </w:pPr>
          <w:r>
            <w:rPr>
              <w:color w:val="000000"/>
              <w:sz w:val="16"/>
              <w:szCs w:val="16"/>
            </w:rPr>
            <w:t xml:space="preserve">875-355 Burrard Street, Vancouver, BC                                        North America Toll Free: 855-STRATA8 or 855-787-2828</w:t>
          </w:r>
        </w:p>
      </w:tc>
      <w:tc>
        <w:tcPr>
          <w:tcW w:w="100" w:type="dxa"/>
        </w:tcPr>
        <w:p>
          <w:pPr>
            <w:jc w:val="right"/>
          </w:pPr>
          <w:r>
            <w:pict>
              <v:shape type="#_x0000_t75" style="width:50px; height:50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myParaStyle">
    <w:name w:val="myParaStyle"/>
    <w:basedOn w:val="Normal"/>
    <w:pP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2016-04-28T13:58:37-07:00</dcterms:created>
  <dcterms:modified xsi:type="dcterms:W3CDTF">2016-04-28T13:58:37-07:00</dcterms:modified>
</cp:coreProperties>
</file>

<file path=docProps/custom.xml><?xml version="1.0" encoding="utf-8"?>
<Properties xmlns="http://schemas.openxmlformats.org/officeDocument/2006/custom-properties" xmlns:vt="http://schemas.openxmlformats.org/officeDocument/2006/docPropsVTypes"/>
</file>