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client_</w:t>
            </w:r>
            <w:r>
              <w:rPr>
                <w:rFonts w:ascii="Neue Hans Kendrick" w:hAnsi="Neue Hans Kendrick"/>
                <w:sz w:val="16"/>
                <w:szCs w:val="16"/>
                <w:lang w:val="en-US"/>
              </w:rPr>
              <w:t>firm</w:t>
            </w:r>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client_address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created_at}}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1FBF9D76" w14:textId="75D2A625" w:rsidR="008A1A49" w:rsidRPr="004A0E94" w:rsidRDefault="008A1A49" w:rsidP="008A1A49">
            <w:pPr>
              <w:pStyle w:val="Tabelleninhalt"/>
              <w:rPr>
                <w:rFonts w:ascii="Neue Hans Kendrick" w:eastAsia="Neue Hans Kendrick Light" w:hAnsi="Neue Hans Kendrick"/>
                <w:sz w:val="16"/>
                <w:lang w:val="de-DE" w:eastAsia="de-DE" w:bidi="de-DE"/>
              </w:rPr>
            </w:pPr>
            <w:r w:rsidRPr="00D92EDA">
              <w:rPr>
                <w:rFonts w:ascii="Neue Hans Kendrick" w:hAnsi="Neue Hans Kendrick"/>
                <w:sz w:val="16"/>
                <w:szCs w:val="16"/>
                <w:lang w:val="de-DE"/>
              </w:rPr>
              <w:t>{{ invoice_title}} {%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62782D" w:rsidRDefault="008A1A49" w:rsidP="008A1A49">
            <w:pPr>
              <w:pStyle w:val="Tabelleninhalt"/>
              <w:rPr>
                <w:rFonts w:ascii="Neue Hans Kendrick" w:eastAsia="Neue Hans Kendrick Light" w:hAnsi="Neue Hans Kendrick"/>
                <w:b/>
                <w:sz w:val="16"/>
                <w:lang w:val="en-US" w:eastAsia="de-DE" w:bidi="de-DE"/>
              </w:rPr>
            </w:pPr>
            <w:r w:rsidRPr="0062782D">
              <w:rPr>
                <w:rFonts w:ascii="Neue Hans Kendrick" w:eastAsia="Neue Hans Kendrick Light" w:hAnsi="Neue Hans Kendrick"/>
                <w:b/>
                <w:sz w:val="16"/>
                <w:lang w:val="en-US" w:eastAsia="de-DE" w:bidi="de-DE"/>
              </w:rPr>
              <w:t>PROJEKT</w:t>
            </w:r>
          </w:p>
          <w:p w14:paraId="4CC56B1C" w14:textId="77777777" w:rsidR="008A1A49" w:rsidRPr="0062782D" w:rsidRDefault="008A1A49" w:rsidP="008A1A49">
            <w:pPr>
              <w:pStyle w:val="Tabelleninhalt"/>
              <w:rPr>
                <w:rFonts w:ascii="Neue Hans Kendrick" w:hAnsi="Neue Hans Kendrick"/>
                <w:sz w:val="16"/>
                <w:szCs w:val="16"/>
                <w:lang w:val="en-US"/>
              </w:rPr>
            </w:pPr>
            <w:r w:rsidRPr="0062782D">
              <w:rPr>
                <w:rFonts w:ascii="Neue Hans Kendrick" w:hAnsi="Neue Hans Kendrick"/>
                <w:sz w:val="16"/>
                <w:szCs w:val="16"/>
                <w:lang w:val="en-US"/>
              </w:rPr>
              <w:t>{{ project_no}}</w:t>
            </w:r>
          </w:p>
          <w:p w14:paraId="4CAAF0C8" w14:textId="77777777" w:rsidR="008A1A49" w:rsidRPr="0062782D" w:rsidRDefault="008A1A49" w:rsidP="008A1A49">
            <w:pPr>
              <w:pStyle w:val="Tabelleninhalt"/>
              <w:rPr>
                <w:rFonts w:ascii="Neue Hans Kendrick" w:hAnsi="Neue Hans Kendrick"/>
                <w:sz w:val="16"/>
                <w:szCs w:val="16"/>
                <w:lang w:val="en-US"/>
              </w:rPr>
            </w:pPr>
            <w:r w:rsidRPr="0062782D">
              <w:rPr>
                <w:rFonts w:ascii="Neue Hans Kendrick" w:hAnsi="Neue Hans Kendrick"/>
                <w:sz w:val="16"/>
                <w:szCs w:val="16"/>
                <w:lang w:val="en-US"/>
              </w:rPr>
              <w:t>{{ project_name}}</w:t>
            </w:r>
          </w:p>
          <w:p w14:paraId="54E3F9CD" w14:textId="77777777" w:rsidR="008A1A49" w:rsidRPr="0062782D"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62782D"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62782D">
              <w:rPr>
                <w:rFonts w:ascii="Neue Hans Kendrick" w:eastAsia="Neue Hans Kendrick Light" w:hAnsi="Neue Hans Kendrick"/>
                <w:b/>
                <w:lang w:val="en-US" w:eastAsia="de-DE" w:bidi="de-DE"/>
              </w:rPr>
              <w:t>RECHNUNG</w:t>
            </w:r>
            <w:r w:rsidRPr="0062782D">
              <w:rPr>
                <w:rFonts w:ascii="Neue Hans Kendrick" w:eastAsia="Neue Hans Kendrick Light" w:hAnsi="Neue Hans Kendrick"/>
                <w:lang w:val="en-US"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00FD7988" w:rsidRPr="00FD7988">
              <w:rPr>
                <w:rFonts w:ascii="Neue Hans Kendrick" w:hAnsi="Neue Hans Kendrick"/>
                <w:sz w:val="16"/>
                <w:szCs w:val="16"/>
              </w:rPr>
              <w:t>{% if current_ar_number %}{{ current_ar_number }}</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62782D" w:rsidRDefault="008A1A49" w:rsidP="008A1A49">
            <w:pPr>
              <w:pStyle w:val="Tabelleninhalt"/>
              <w:rPr>
                <w:rFonts w:ascii="Neue Hans Kendrick" w:hAnsi="Neue Hans Kendrick"/>
                <w:sz w:val="16"/>
                <w:szCs w:val="16"/>
                <w:lang w:val="de-DE"/>
              </w:rPr>
            </w:pPr>
            <w:r w:rsidRPr="0062782D">
              <w:rPr>
                <w:rFonts w:ascii="Neue Hans Kendrick" w:hAnsi="Neue Hans Kendrick"/>
                <w:sz w:val="16"/>
                <w:szCs w:val="16"/>
                <w:lang w:val="de-DE"/>
              </w:rPr>
              <w:t xml:space="preserve">{{ from_date}} </w:t>
            </w:r>
            <w:r w:rsidRPr="0062782D">
              <w:rPr>
                <w:rFonts w:ascii="Neue Hans Kendrick" w:eastAsia="Neue Hans Kendrick Light" w:hAnsi="Neue Hans Kendrick"/>
                <w:sz w:val="16"/>
                <w:lang w:val="de-DE" w:eastAsia="de-DE" w:bidi="de-DE"/>
              </w:rPr>
              <w:t xml:space="preserve">bis </w:t>
            </w:r>
            <w:r w:rsidRPr="0062782D">
              <w:rPr>
                <w:rFonts w:ascii="Neue Hans Kendrick" w:hAnsi="Neue Hans Kendrick"/>
                <w:sz w:val="16"/>
                <w:szCs w:val="16"/>
                <w:lang w:val="de-DE"/>
              </w:rPr>
              <w:t>{{ to_date}}</w:t>
            </w:r>
          </w:p>
          <w:p w14:paraId="40CF37BE" w14:textId="77777777" w:rsidR="008A1A49" w:rsidRPr="0062782D"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62782D"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62782D"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elif invoice_type == 'AR' or invoice_type == 'ER' %}</w:t>
            </w:r>
          </w:p>
          <w:p w14:paraId="7A6F2FC9"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Pr="00D92EDA">
              <w:rPr>
                <w:rFonts w:ascii="Neue Hans Kendrick" w:hAnsi="Neue Hans Kendrick"/>
              </w:rPr>
              <w:t xml:space="preserve"> </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if is_hoai_contract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HOAI [%]</w:t>
            </w:r>
          </w:p>
        </w:tc>
        <w:tc>
          <w:tcPr>
            <w:tcW w:w="1843" w:type="dxa"/>
            <w:shd w:val="clear" w:color="auto" w:fill="C0C0C0"/>
          </w:tcPr>
          <w:p w14:paraId="686EC5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angeboten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lp.lp_amount}}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grundhonorar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{{lp.actual_lp_value}}</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if additional_fee_percentage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shd w:val="clear" w:color="auto" w:fill="auto"/>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0EB1F01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w:t>
            </w:r>
            <w:r>
              <w:rPr>
                <w:rFonts w:ascii="Neue Hans Kendrick" w:hAnsi="Neue Hans Kendrick"/>
                <w:lang w:val="en-US"/>
              </w:rPr>
              <w:t>ype</w:t>
            </w:r>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inv.invoice_title }}/</w:t>
            </w:r>
            <w:r w:rsidR="004B63AE">
              <w:rPr>
                <w:rFonts w:ascii="Neue Hans Kendrick" w:hAnsi="Neue Hans Kendrick"/>
                <w:lang w:val="en-US"/>
              </w:rPr>
              <w:t xml:space="preserve">  </w:t>
            </w:r>
            <w:r w:rsidR="008A1A49" w:rsidRPr="00134ADA">
              <w:rPr>
                <w:rFonts w:ascii="Neue Hans Kendrick" w:hAnsi="Neue Hans Kendrick"/>
                <w:lang w:val="en-US"/>
              </w:rPr>
              <w:t>{{ inv.created_at}}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inv.invoice_gross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inv.invoice_net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total_invoice_gross }}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total_invoice_net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lastRenderedPageBreak/>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4658CD45"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sidR="0025235E" w:rsidRPr="00B2289D">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BA2568">
      <w:headerReference w:type="default" r:id="rId10"/>
      <w:footerReference w:type="default" r:id="rId11"/>
      <w:headerReference w:type="first" r:id="rId12"/>
      <w:footerReference w:type="first" r:id="rId13"/>
      <w:pgSz w:w="11906" w:h="16838"/>
      <w:pgMar w:top="1134" w:right="851"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530AC"/>
    <w:rsid w:val="000707EB"/>
    <w:rsid w:val="000D0AAF"/>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720AF5"/>
    <w:rsid w:val="00725DEC"/>
    <w:rsid w:val="0073427E"/>
    <w:rsid w:val="00780686"/>
    <w:rsid w:val="00795E05"/>
    <w:rsid w:val="007A1F7A"/>
    <w:rsid w:val="007A555D"/>
    <w:rsid w:val="007B39AA"/>
    <w:rsid w:val="007C4426"/>
    <w:rsid w:val="008318E3"/>
    <w:rsid w:val="00866AD4"/>
    <w:rsid w:val="008708DB"/>
    <w:rsid w:val="008A1A49"/>
    <w:rsid w:val="008A1B4C"/>
    <w:rsid w:val="00900FC5"/>
    <w:rsid w:val="009063C9"/>
    <w:rsid w:val="0091473C"/>
    <w:rsid w:val="00924A51"/>
    <w:rsid w:val="009568A9"/>
    <w:rsid w:val="009B671C"/>
    <w:rsid w:val="009D6B5E"/>
    <w:rsid w:val="009F6FB7"/>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8092C"/>
    <w:rsid w:val="00D87FC9"/>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8A1A49"/>
    <w:pPr>
      <w:spacing w:after="240" w:line="276" w:lineRule="auto"/>
      <w:ind w:left="2552"/>
      <w:jc w:val="both"/>
    </w:pPr>
  </w:style>
  <w:style w:type="table" w:styleId="Tabellenraster">
    <w:name w:val="Table Grid"/>
    <w:basedOn w:val="NormaleTabelle"/>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6981</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41</cp:revision>
  <dcterms:created xsi:type="dcterms:W3CDTF">2025-02-06T10:49:00Z</dcterms:created>
  <dcterms:modified xsi:type="dcterms:W3CDTF">2025-05-06T08:42:00Z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