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BB7B08" w:rsidRDefault="00A279A8" w:rsidP="00226443">
      <w:pPr>
        <w:pStyle w:val="Facpubcredit"/>
        <w:rPr>
          <w:rFonts w:ascii="ScalaSansLF-Bold" w:hAnsi="ScalaSansLF-Bold"/>
        </w:rPr>
      </w:pPr>
      <w:r w:rsidRPr="00A279A8">
        <w:rPr>
          <w:rFonts w:ascii="ScalaLF-Caps" w:hAnsi="ScalaLF-Caps"/>
          <w:sz w:val="40"/>
          <w:szCs w:val="40"/>
        </w:rPr>
        <w:t>Philosophy and Dissidence in Cold War Europe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r w:rsidRPr="00A279A8">
        <w:rPr>
          <w:rFonts w:ascii="ScalaSansLF-Bold" w:hAnsi="ScalaSansLF-Bold"/>
        </w:rPr>
        <w:t>Aspen E. Brinto</w:t>
      </w:r>
      <w:r w:rsidR="007A79B2">
        <w:rPr>
          <w:rFonts w:ascii="ScalaSansLF-Bold" w:hAnsi="ScalaSansLF-Bold"/>
        </w:rPr>
        <w:t>n</w:t>
      </w:r>
      <w:bookmarkStart w:id="0" w:name="_GoBack"/>
      <w:bookmarkEnd w:id="0"/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Danaher, David S. 2015. Reading Václav Havel. Toronto: University of Toronto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Drakuli</w:t>
      </w:r>
      <w:r w:rsidRPr="00A279A8">
        <w:rPr>
          <w:rFonts w:ascii="Cambria" w:hAnsi="Cambria" w:cs="Cambria"/>
          <w:sz w:val="20"/>
          <w:szCs w:val="20"/>
        </w:rPr>
        <w:t>ć</w:t>
      </w:r>
      <w:r w:rsidRPr="00A279A8">
        <w:rPr>
          <w:rFonts w:ascii="ScalaSansLF-Regular" w:hAnsi="ScalaSansLF-Regular"/>
          <w:sz w:val="20"/>
          <w:szCs w:val="20"/>
        </w:rPr>
        <w:t>, Slavenka. 1993. How we Survived Communism and Even Laughed. New York: HarperPerennial.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Goetz-Stankiewicz, Marketa. 1992. Good-Bye, Samizdat: Twenty Years of Czechoslovak Underground Writing. Evanston, Ill.: Northwestern University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Gubser, Mike. 2014. The Far Reaches: Phenomenology, Ethics, and Social Renewal in Central Europe. Stanford, CA: Stanford University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Gutmann, Amy and Charles Taylor. 1992. Multiculturalism and the Politics of Recognition: An Essay. Princeton, N.J.: Princeton University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Havel, Václav. 1997. The Art of the Impossible: Politics as Morality in Practice: Speeches and Writings, 1990-1996. New York: Knopf: Distributed by Random House.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Havel, Václav and John Keane. 1985. The Power of the Powerless: Citizens Against the State in Central-Eastern Europe. London: Hutchinson.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Honneth, Axel. 1995. The Struggle for Recognition: The Moral Grammar of Social Conflicts. Cambridge, Mass.: Polity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Konrád, György. 1984. Antipolitics: An Essay. San Diego: Harcourt, Brace, Jovanovich.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Michnik, Adam. 1985. Letters from Prison and Other Essays. Berkeley: University of California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Mihajlov, Mihajlo. 1976. Underground Notes. Kansas City Kan.: Sheed, Andrews, &amp; McMeel.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Pribán, Jirí. 2002. Dissidents of Law: On the 1989 Velvet Revolutions, Legitimations, Fictions of Legality, and Contemporary Version of the Social Contract. Burlington, VT: Ashgate/Dartmouth.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Roberts, Adam, and Timothy Garton Ash. 2009. Civil Resistance and Power Politics: The Experience of Non-Violent Action from Gandhi to the Present. Oxford; New York: Oxford University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Ryback, Timothy W. 1990. Rock Around the Bloc: A History of Rock Music in Eastern Europe and the Soviet Union. New York: Oxford University Press.</w:t>
      </w:r>
    </w:p>
    <w:p w:rsidR="00A279A8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lastRenderedPageBreak/>
        <w:t>Skilling, H. G. 1989. Samizdat and an Independent Society in Central and Eastern Europe. Columbus: Ohio State University Press.</w:t>
      </w:r>
    </w:p>
    <w:p w:rsidR="00226443" w:rsidRPr="00A279A8" w:rsidRDefault="00A279A8" w:rsidP="00A279A8">
      <w:pPr>
        <w:pStyle w:val="FacpubResource"/>
        <w:rPr>
          <w:rFonts w:ascii="ScalaSansLF-Regular" w:hAnsi="ScalaSansLF-Regular"/>
          <w:sz w:val="20"/>
          <w:szCs w:val="20"/>
        </w:rPr>
      </w:pPr>
      <w:r w:rsidRPr="00A279A8">
        <w:rPr>
          <w:rFonts w:ascii="ScalaSansLF-Regular" w:hAnsi="ScalaSansLF-Regular"/>
          <w:sz w:val="20"/>
          <w:szCs w:val="20"/>
        </w:rPr>
        <w:t>Vaculík, Ludvík and George Theiner trans. 1987. A Cup of Coffee with My Interrogator: The Prague Chronicles of Ludvík Vaculík. London: Readers International.</w:t>
      </w:r>
    </w:p>
    <w:sectPr w:rsidR="00226443" w:rsidRPr="00A279A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0ED" w:rsidRDefault="000760ED" w:rsidP="00795D02">
      <w:pPr>
        <w:spacing w:after="0" w:line="240" w:lineRule="auto"/>
      </w:pPr>
      <w:r>
        <w:separator/>
      </w:r>
    </w:p>
  </w:endnote>
  <w:endnote w:type="continuationSeparator" w:id="0">
    <w:p w:rsidR="000760ED" w:rsidRDefault="000760ED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bc.edu/facpub</w:t>
    </w:r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0ED" w:rsidRDefault="000760ED" w:rsidP="00795D02">
      <w:pPr>
        <w:spacing w:after="0" w:line="240" w:lineRule="auto"/>
      </w:pPr>
      <w:r>
        <w:separator/>
      </w:r>
    </w:p>
  </w:footnote>
  <w:footnote w:type="continuationSeparator" w:id="0">
    <w:p w:rsidR="000760ED" w:rsidRDefault="000760ED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760ED"/>
    <w:rsid w:val="000A37A4"/>
    <w:rsid w:val="00226443"/>
    <w:rsid w:val="002626F2"/>
    <w:rsid w:val="002C3827"/>
    <w:rsid w:val="003376F6"/>
    <w:rsid w:val="00394F70"/>
    <w:rsid w:val="003B7558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7A79B2"/>
    <w:rsid w:val="00835009"/>
    <w:rsid w:val="008B7725"/>
    <w:rsid w:val="009838A3"/>
    <w:rsid w:val="00997AAC"/>
    <w:rsid w:val="009D6225"/>
    <w:rsid w:val="009D6772"/>
    <w:rsid w:val="00A20756"/>
    <w:rsid w:val="00A279A8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115A"/>
  <w15:docId w15:val="{CB0DF67F-A3C2-44ED-A589-807785D7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DBAE-D336-442B-8BA5-467DC671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3</cp:revision>
  <dcterms:created xsi:type="dcterms:W3CDTF">2016-06-01T17:56:00Z</dcterms:created>
  <dcterms:modified xsi:type="dcterms:W3CDTF">2016-06-01T17:59:00Z</dcterms:modified>
</cp:coreProperties>
</file>