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BA989" w14:textId="77777777" w:rsidR="00577D28" w:rsidRDefault="003A667E">
      <w:pPr>
        <w:pStyle w:val="Heading1"/>
      </w:pPr>
      <w:bookmarkStart w:id="0" w:name="supplementary-data"/>
      <w:bookmarkEnd w:id="0"/>
      <w:r>
        <w:t>SUPPLEMENTARY DATA</w:t>
      </w:r>
    </w:p>
    <w:p w14:paraId="1D039EE6" w14:textId="77777777" w:rsidR="00577D28" w:rsidRDefault="003A667E">
      <w:r>
        <w:rPr>
          <w:noProof/>
        </w:rPr>
        <w:drawing>
          <wp:inline distT="0" distB="0" distL="0" distR="0" wp14:anchorId="5CE68BAF" wp14:editId="13899AE2">
            <wp:extent cx="5943600"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plementary_data_files/figure-docx/figure_s1-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3600" cy="2743200"/>
                    </a:xfrm>
                    <a:prstGeom prst="rect">
                      <a:avLst/>
                    </a:prstGeom>
                    <a:noFill/>
                    <a:ln w="9525">
                      <a:noFill/>
                      <a:headEnd/>
                      <a:tailEnd/>
                    </a:ln>
                  </pic:spPr>
                </pic:pic>
              </a:graphicData>
            </a:graphic>
          </wp:inline>
        </w:drawing>
      </w:r>
    </w:p>
    <w:p w14:paraId="2EF3A4E3" w14:textId="77777777" w:rsidR="00577D28" w:rsidRDefault="003A667E">
      <w:r>
        <w:t>Figure S1. Characterization of adipocyte differentiation markers. Eight RNA-seq samples of MDI-induced 3T3-L1 pre-adipocytes at four different time points were obtained from the European Nucleotide Archive (ENA). Raw reads were aligned to the USCS mouse re</w:t>
      </w:r>
      <w:r>
        <w:t>ference genome (mm10) using HISAT2, and aligned reads were summarized at the gene level using HTSeq. Average log counts of three differentiation markers (A) in two developmental stages (control proliferating cells and differentiating cells) and some lipoge</w:t>
      </w:r>
      <w:r>
        <w:t xml:space="preserve">nesis markers (B) in four developmental stages (proliferation, quiescence, clonal expansion, and differentiation) are shown as bars and lines, respectively. </w:t>
      </w:r>
      <w:r>
        <w:rPr>
          <w:i/>
        </w:rPr>
        <w:t>Cebpa</w:t>
      </w:r>
      <w:r>
        <w:t xml:space="preserve">, CCAAT/enhancer binding protein (C/EBP), alpha; </w:t>
      </w:r>
      <w:r>
        <w:rPr>
          <w:i/>
        </w:rPr>
        <w:t>Lpl</w:t>
      </w:r>
      <w:r>
        <w:t xml:space="preserve">, lipoprotein lipase; </w:t>
      </w:r>
      <w:r>
        <w:rPr>
          <w:i/>
        </w:rPr>
        <w:t>Pparg</w:t>
      </w:r>
      <w:r>
        <w:t>, peroxisome pr</w:t>
      </w:r>
      <w:r>
        <w:t xml:space="preserve">oliferator activated receptor gamma; </w:t>
      </w:r>
      <w:r>
        <w:rPr>
          <w:i/>
        </w:rPr>
        <w:t>Acaca</w:t>
      </w:r>
      <w:r>
        <w:t xml:space="preserve">, Acetyl-CoA Carboxylase Alpha; </w:t>
      </w:r>
      <w:r>
        <w:rPr>
          <w:i/>
        </w:rPr>
        <w:t>Acly</w:t>
      </w:r>
      <w:r>
        <w:t xml:space="preserve">, ATP Citrate Lyase; </w:t>
      </w:r>
      <w:r>
        <w:rPr>
          <w:i/>
        </w:rPr>
        <w:t>Dgat</w:t>
      </w:r>
      <w:r>
        <w:t xml:space="preserve">, Diacylglycerol O-Acyltransferase; </w:t>
      </w:r>
      <w:r>
        <w:rPr>
          <w:i/>
        </w:rPr>
        <w:t>Elov6</w:t>
      </w:r>
      <w:r>
        <w:t xml:space="preserve">, Fatty Acid Elongase 6; </w:t>
      </w:r>
      <w:r>
        <w:rPr>
          <w:i/>
        </w:rPr>
        <w:t>Fasn</w:t>
      </w:r>
      <w:r>
        <w:t xml:space="preserve">, Fatty Acid Synthase; </w:t>
      </w:r>
      <w:r>
        <w:rPr>
          <w:i/>
        </w:rPr>
        <w:t>Scd</w:t>
      </w:r>
      <w:r>
        <w:t>, Stearoyl-CoA Desaturase.</w:t>
      </w:r>
    </w:p>
    <w:p w14:paraId="54096F4E" w14:textId="77777777" w:rsidR="00577D28" w:rsidRDefault="003A667E">
      <w:r>
        <w:rPr>
          <w:noProof/>
        </w:rPr>
        <w:lastRenderedPageBreak/>
        <w:drawing>
          <wp:inline distT="0" distB="0" distL="0" distR="0" wp14:anchorId="21078F91" wp14:editId="3A1B81BF">
            <wp:extent cx="5943600"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pplementary_data_files/figure-docx/figure_s2-1.png"/>
                    <pic:cNvPicPr>
                      <a:picLocks noChangeAspect="1" noChangeArrowheads="1"/>
                    </pic:cNvPicPr>
                  </pic:nvPicPr>
                  <pic:blipFill>
                    <a:blip r:embed="rId8"/>
                    <a:stretch>
                      <a:fillRect/>
                    </a:stretch>
                  </pic:blipFill>
                  <pic:spPr bwMode="auto">
                    <a:xfrm>
                      <a:off x="0" y="0"/>
                      <a:ext cx="5943600" cy="2743200"/>
                    </a:xfrm>
                    <a:prstGeom prst="rect">
                      <a:avLst/>
                    </a:prstGeom>
                    <a:noFill/>
                    <a:ln w="9525">
                      <a:noFill/>
                      <a:headEnd/>
                      <a:tailEnd/>
                    </a:ln>
                  </pic:spPr>
                </pic:pic>
              </a:graphicData>
            </a:graphic>
          </wp:inline>
        </w:drawing>
      </w:r>
    </w:p>
    <w:p w14:paraId="08FFF12F" w14:textId="77777777" w:rsidR="00577D28" w:rsidRDefault="003A667E">
      <w:r>
        <w:t>Figure S2. Quality assessmen</w:t>
      </w:r>
      <w:r>
        <w:t>t, exploration and validation of the data. (A) The estimated genes (black), fitted (red) and final dispersion (blue) data of Al Adhami et al [4] calculated by DESeq2 were plotted against the mean normalized counts for numbers of genes across 8 samples. (B)</w:t>
      </w:r>
      <w:r>
        <w:t xml:space="preserve"> Multidimensional Scaling (MDS) was applied to the count matrix of 8 samples and the two dimensions were mapped to the 4 stages of adipocyte differentiation; proliferation (black), quiescence (red), clonal expansion (green) and differentiation (blue). (C) </w:t>
      </w:r>
      <w:r>
        <w:t>Six samples of MDI-induced 3T3-L1 at day 0 and day 7 of the other dataset (Duteil et al [6]) were processed using the same pipeline and tested for differential expression and used for validating the main findings. Log fold-changes of 35 autophagy-related g</w:t>
      </w:r>
      <w:r>
        <w:t>enes from the corresponding comparisons (Al Adhami et al and Duteil et al datasets) are shown on the x and y-axis, respectively.</w:t>
      </w:r>
    </w:p>
    <w:p w14:paraId="5DD4567D" w14:textId="77777777" w:rsidR="00577D28" w:rsidRDefault="003A667E" w:rsidP="001D44B1">
      <w:pPr>
        <w:jc w:val="center"/>
      </w:pPr>
      <w:r>
        <w:rPr>
          <w:noProof/>
        </w:rPr>
        <w:lastRenderedPageBreak/>
        <w:drawing>
          <wp:inline distT="0" distB="0" distL="0" distR="0" wp14:anchorId="4C4D4E95" wp14:editId="4CCC8DEF">
            <wp:extent cx="5486400" cy="5486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pplementary_data_files/figure-docx/figure_s3-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86400" cy="5486400"/>
                    </a:xfrm>
                    <a:prstGeom prst="rect">
                      <a:avLst/>
                    </a:prstGeom>
                    <a:noFill/>
                    <a:ln w="9525">
                      <a:noFill/>
                      <a:headEnd/>
                      <a:tailEnd/>
                    </a:ln>
                  </pic:spPr>
                </pic:pic>
              </a:graphicData>
            </a:graphic>
          </wp:inline>
        </w:drawing>
      </w:r>
    </w:p>
    <w:p w14:paraId="3606DF04" w14:textId="77777777" w:rsidR="00577D28" w:rsidRDefault="003A667E">
      <w:r>
        <w:t>Figure S3. Enrichment of signaling pathways at differentiated adipocytes. Bar-codes plots of significant enrichment of signal</w:t>
      </w:r>
      <w:r>
        <w:t xml:space="preserve">ing pathways; mTOR (A) Jak-STAT (B) Insulin (C) and adipocytokine signaling pathway (D). </w:t>
      </w:r>
      <w:r>
        <w:rPr>
          <w:i/>
        </w:rPr>
        <w:t>p</w:t>
      </w:r>
      <w:r>
        <w:t xml:space="preserve">-values are shown on the x-axis ordered from high to low and divided by the cutoffs 0.01 and 0.05, respectively. </w:t>
      </w:r>
      <w:r>
        <w:rPr>
          <w:i/>
        </w:rPr>
        <w:t>p</w:t>
      </w:r>
      <w:r>
        <w:t>-values and t-statistics are calculated for the comp</w:t>
      </w:r>
      <w:r>
        <w:t xml:space="preserve">arison between differentiating (day 6 after treatment) and proliferating cells (day 0). The vertical bars represent the individual genes with their corresponding </w:t>
      </w:r>
      <w:r>
        <w:rPr>
          <w:i/>
        </w:rPr>
        <w:t>t</w:t>
      </w:r>
      <w:r>
        <w:t>-statistics; red line (positive) and blue line (negative). The horizontal lines are the overa</w:t>
      </w:r>
      <w:r>
        <w:t>ll enrichment of the pathway.</w:t>
      </w:r>
    </w:p>
    <w:p w14:paraId="40A65B9E" w14:textId="77777777" w:rsidR="00577D28" w:rsidRDefault="003A667E" w:rsidP="001D44B1">
      <w:pPr>
        <w:jc w:val="center"/>
      </w:pPr>
      <w:r>
        <w:rPr>
          <w:noProof/>
        </w:rPr>
        <w:lastRenderedPageBreak/>
        <w:drawing>
          <wp:inline distT="0" distB="0" distL="0" distR="0" wp14:anchorId="5E6DE190" wp14:editId="3873460D">
            <wp:extent cx="4242814" cy="36575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pplementary_data_files/figure-docx/figure_s4-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242814" cy="3657599"/>
                    </a:xfrm>
                    <a:prstGeom prst="rect">
                      <a:avLst/>
                    </a:prstGeom>
                    <a:noFill/>
                    <a:ln w="9525">
                      <a:noFill/>
                      <a:headEnd/>
                      <a:tailEnd/>
                    </a:ln>
                  </pic:spPr>
                </pic:pic>
              </a:graphicData>
            </a:graphic>
          </wp:inline>
        </w:drawing>
      </w:r>
      <w:bookmarkStart w:id="1" w:name="_GoBack"/>
      <w:bookmarkEnd w:id="1"/>
    </w:p>
    <w:p w14:paraId="49159AF5" w14:textId="77777777" w:rsidR="00577D28" w:rsidRDefault="003A667E">
      <w:r>
        <w:t xml:space="preserve">Figure S4. Differential exon usage of </w:t>
      </w:r>
      <w:r>
        <w:rPr>
          <w:i/>
        </w:rPr>
        <w:t>Acbd5</w:t>
      </w:r>
      <w:r>
        <w:t>. Counts of total 16073 exons in 8 samples were used to test for differential usage using DEXSeq for the for the pairwise comparison between proliferating samples (day 0) and quiesc</w:t>
      </w:r>
      <w:r>
        <w:t xml:space="preserve">ence (day 2), clonal expansion (10 hours after MDI treatment) and differentiating samples (day 6 after MDI treatment). Exon usage values of 19 exons of </w:t>
      </w:r>
      <w:r>
        <w:rPr>
          <w:i/>
        </w:rPr>
        <w:t>Acbd5</w:t>
      </w:r>
      <w:r>
        <w:t xml:space="preserve"> at different differentiation stages (</w:t>
      </w:r>
      <w:r>
        <w:rPr>
          <w:i/>
        </w:rPr>
        <w:t>green</w:t>
      </w:r>
      <w:r>
        <w:t xml:space="preserve">, proliferation; </w:t>
      </w:r>
      <w:r>
        <w:rPr>
          <w:i/>
        </w:rPr>
        <w:t>purple</w:t>
      </w:r>
      <w:r>
        <w:t xml:space="preserve">, quiescence; </w:t>
      </w:r>
      <w:r>
        <w:rPr>
          <w:i/>
        </w:rPr>
        <w:t>red</w:t>
      </w:r>
      <w:r>
        <w:t>, clonal expansi</w:t>
      </w:r>
      <w:r>
        <w:t xml:space="preserve">on; </w:t>
      </w:r>
      <w:r>
        <w:rPr>
          <w:i/>
        </w:rPr>
        <w:t>blue</w:t>
      </w:r>
      <w:r>
        <w:t>, differentiation) are shown with their corresponding transcripts and genomic ranges at the bottom.</w:t>
      </w:r>
    </w:p>
    <w:sectPr w:rsidR="00577D28" w:rsidSect="00C456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BD294" w14:textId="77777777" w:rsidR="003A667E" w:rsidRDefault="003A667E">
      <w:pPr>
        <w:spacing w:line="240" w:lineRule="auto"/>
      </w:pPr>
      <w:r>
        <w:separator/>
      </w:r>
    </w:p>
  </w:endnote>
  <w:endnote w:type="continuationSeparator" w:id="0">
    <w:p w14:paraId="1F145CE1" w14:textId="77777777" w:rsidR="003A667E" w:rsidRDefault="003A6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13B26" w14:textId="77777777" w:rsidR="003A667E" w:rsidRDefault="003A667E">
      <w:r>
        <w:separator/>
      </w:r>
    </w:p>
  </w:footnote>
  <w:footnote w:type="continuationSeparator" w:id="0">
    <w:p w14:paraId="46876D30" w14:textId="77777777" w:rsidR="003A667E" w:rsidRDefault="003A66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CD4292"/>
    <w:multiLevelType w:val="multilevel"/>
    <w:tmpl w:val="BE403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4F61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D44B1"/>
    <w:rsid w:val="003A667E"/>
    <w:rsid w:val="004E29B3"/>
    <w:rsid w:val="00577D28"/>
    <w:rsid w:val="00590D07"/>
    <w:rsid w:val="00784D58"/>
    <w:rsid w:val="008D6863"/>
    <w:rsid w:val="00B86B75"/>
    <w:rsid w:val="00B9309C"/>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EF5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6DA7"/>
    <w:pPr>
      <w:spacing w:line="480" w:lineRule="auto"/>
      <w:jc w:val="both"/>
    </w:pPr>
    <w:rPr>
      <w:rFonts w:ascii="Times" w:hAnsi="Times"/>
      <w:color w:val="000000" w:themeColor="text1"/>
      <w:sz w:val="22"/>
    </w:rPr>
  </w:style>
  <w:style w:type="paragraph" w:styleId="Heading1">
    <w:name w:val="heading 1"/>
    <w:basedOn w:val="Normal"/>
    <w:next w:val="Normal"/>
    <w:link w:val="Heading1Char"/>
    <w:uiPriority w:val="9"/>
    <w:qFormat/>
    <w:rsid w:val="001B643C"/>
    <w:pPr>
      <w:keepLines/>
      <w:pageBreakBefore/>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57886"/>
    <w:pPr>
      <w:keepNext/>
      <w:keepLines/>
      <w:spacing w:before="40"/>
      <w:jc w:val="left"/>
      <w:outlineLvl w:val="1"/>
    </w:pPr>
    <w:rPr>
      <w:rFonts w:eastAsiaTheme="majorEastAsia" w:cstheme="majorBidi"/>
      <w:b/>
      <w:szCs w:val="26"/>
    </w:rPr>
  </w:style>
  <w:style w:type="paragraph" w:styleId="Heading3">
    <w:name w:val="heading 3"/>
    <w:basedOn w:val="Heading1"/>
    <w:next w:val="Normal"/>
    <w:link w:val="Heading3Char"/>
    <w:uiPriority w:val="9"/>
    <w:unhideWhenUsed/>
    <w:qFormat/>
    <w:rsid w:val="001A3CFA"/>
    <w:pPr>
      <w:spacing w:before="40" w:line="20" w:lineRule="exact"/>
      <w:outlineLvl w:val="2"/>
    </w:pPr>
    <w:rPr>
      <w:b w:val="0"/>
      <w:color w:val="FFFFFF" w:themeColor="background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3C"/>
    <w:rPr>
      <w:rFonts w:ascii="Times" w:eastAsiaTheme="majorEastAsia" w:hAnsi="Times" w:cstheme="majorBidi"/>
      <w:b/>
      <w:color w:val="000000" w:themeColor="text1"/>
      <w:sz w:val="22"/>
      <w:szCs w:val="32"/>
    </w:rPr>
  </w:style>
  <w:style w:type="character" w:customStyle="1" w:styleId="Heading2Char">
    <w:name w:val="Heading 2 Char"/>
    <w:basedOn w:val="DefaultParagraphFont"/>
    <w:link w:val="Heading2"/>
    <w:uiPriority w:val="9"/>
    <w:rsid w:val="00557886"/>
    <w:rPr>
      <w:rFonts w:ascii="Times" w:eastAsiaTheme="majorEastAsia" w:hAnsi="Times" w:cstheme="majorBidi"/>
      <w:b/>
      <w:color w:val="000000" w:themeColor="text1"/>
      <w:sz w:val="22"/>
      <w:szCs w:val="26"/>
    </w:rPr>
  </w:style>
  <w:style w:type="character" w:customStyle="1" w:styleId="Heading3Char">
    <w:name w:val="Heading 3 Char"/>
    <w:basedOn w:val="DefaultParagraphFont"/>
    <w:link w:val="Heading3"/>
    <w:uiPriority w:val="9"/>
    <w:rsid w:val="001A3CFA"/>
    <w:rPr>
      <w:rFonts w:ascii="Times" w:eastAsiaTheme="majorEastAsia" w:hAnsi="Times" w:cstheme="majorBidi"/>
      <w:color w:val="FFFFFF" w:themeColor="background1"/>
      <w:sz w:val="10"/>
      <w:szCs w:val="32"/>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477</Words>
  <Characters>2724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Mahmoud Ahmed</cp:lastModifiedBy>
  <cp:revision>2</cp:revision>
  <dcterms:created xsi:type="dcterms:W3CDTF">2017-06-19T11:19:00Z</dcterms:created>
  <dcterms:modified xsi:type="dcterms:W3CDTF">2017-06-20T03:20:00Z</dcterms:modified>
</cp:coreProperties>
</file>