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B45309"/>
          <w:sz w:val="18"/>
          <w:szCs w:val="18"/>
        </w:rPr>
        <w:t xml:space="preserve">GOVERNMENT OF TELANGANA  ·  STATE POLICE</w:t>
      </w:r>
    </w:p>
    <w:p>
      <w:pPr>
        <w:pBdr>
          <w:bottom w:val="single" w:color="B45309" w:sz="12" w:space="10"/>
        </w:pBdr>
        <w:spacing w:after="200"/>
        <w:jc w:val="center"/>
      </w:pPr>
      <w:r>
        <w:rPr>
          <w:rFonts w:ascii="Georgia" w:cs="Georgia" w:eastAsia="Georgia" w:hAnsi="Georgia"/>
          <w:b/>
          <w:bCs/>
          <w:color w:val="13294B"/>
          <w:sz w:val="72"/>
          <w:szCs w:val="72"/>
        </w:rPr>
        <w:t xml:space="preserve">SSOR</w:t>
      </w:r>
    </w:p>
    <w:p>
      <w:pPr>
        <w:spacing w:after="400" w:before="200"/>
        <w:jc w:val="center"/>
      </w:pPr>
      <w:r>
        <w:rPr>
          <w:rFonts w:ascii="Georgia" w:cs="Georgia" w:eastAsia="Georgia" w:hAnsi="Georgia"/>
          <w:color w:val="475569"/>
          <w:sz w:val="28"/>
          <w:szCs w:val="28"/>
        </w:rPr>
        <w:t xml:space="preserve">State Sexual Offender Registry</w:t>
      </w:r>
    </w:p>
    <w:p>
      <w:pPr>
        <w:spacing w:after="80"/>
        <w:jc w:val="center"/>
      </w:pPr>
      <w:r>
        <w:rPr>
          <w:rFonts w:ascii="Georgia" w:cs="Georgia" w:eastAsia="Georgia" w:hAnsi="Georgia"/>
          <w:b/>
          <w:bCs/>
          <w:color w:val="13294B"/>
          <w:sz w:val="40"/>
          <w:szCs w:val="40"/>
        </w:rPr>
        <w:t xml:space="preserve">Police Officials Usage Document</w:t>
      </w:r>
    </w:p>
    <w:p>
      <w:pPr>
        <w:spacing w:after="700"/>
        <w:jc w:val="center"/>
      </w:pPr>
      <w:r>
        <w:rPr>
          <w:i/>
          <w:iCs/>
          <w:color w:val="475569"/>
          <w:sz w:val="22"/>
          <w:szCs w:val="22"/>
        </w:rPr>
        <w:t xml:space="preserve">Register Console — Registry, Clearance Vetting, Approvals and Oversight</w:t>
      </w:r>
    </w:p>
    <w:tbl>
      <w:tblPr>
        <w:tblW w:type="dxa" w:w="6400"/>
        <w:jc w:val="center"/>
        <w:tblBorders>
          <w:top w:val="single" w:color="CBD5E1" w:sz="4"/>
          <w:left w:val="none"/>
          <w:bottom w:val="single" w:color="CBD5E1" w:sz="4"/>
          <w:right w:val="none"/>
          <w:insideH w:val="single" w:color="E2E8F0" w:sz="4"/>
          <w:insideV w:val="none"/>
        </w:tblBorders>
      </w:tblPr>
      <w:tblGrid>
        <w:gridCol w:w="2400"/>
        <w:gridCol w:w="4000"/>
      </w:tblGrid>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Document</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Police Officials Usage Document</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Audience</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Authorised police officers with register access</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Classification</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Restricted — official use only</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Product stage</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Active development</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Scope</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Police-facing frontend, flows and interfaces</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Version</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1.0</w:t>
            </w:r>
          </w:p>
        </w:tc>
      </w:tr>
    </w:tbl>
    <w:p>
      <w:r>
        <w:br w:type="page"/>
      </w:r>
    </w:p>
    <w:p>
      <w:pPr>
        <w:pBdr>
          <w:bottom w:val="single" w:color="B45309" w:sz="12" w:space="6"/>
        </w:pBdr>
        <w:spacing w:after="200"/>
      </w:pPr>
      <w:r>
        <w:rPr>
          <w:rFonts w:ascii="Georgia" w:cs="Georgia" w:eastAsia="Georgia" w:hAnsi="Georgia"/>
          <w:b/>
          <w:bCs/>
          <w:color w:val="13294B"/>
          <w:sz w:val="30"/>
          <w:szCs w:val="30"/>
        </w:rPr>
        <w:t xml:space="preserve">Contents</w:t>
      </w:r>
    </w:p>
    <w:p>
      <w:pPr>
        <w:spacing w:after="140" w:line="260"/>
        <w:ind w:left="200"/>
      </w:pPr>
      <w:r>
        <w:rPr>
          <w:b/>
          <w:bCs/>
          <w:color w:val="B45309"/>
          <w:sz w:val="21"/>
          <w:szCs w:val="21"/>
        </w:rPr>
        <w:t xml:space="preserve">1.   </w:t>
      </w:r>
      <w:r>
        <w:rPr>
          <w:color w:val="13294B"/>
          <w:sz w:val="21"/>
          <w:szCs w:val="21"/>
        </w:rPr>
        <w:t xml:space="preserve">  Purpose and Scope of the Police Portal</w:t>
      </w:r>
    </w:p>
    <w:p>
      <w:pPr>
        <w:spacing w:after="140" w:line="260"/>
        <w:ind w:left="200"/>
      </w:pPr>
      <w:r>
        <w:rPr>
          <w:b/>
          <w:bCs/>
          <w:color w:val="B45309"/>
          <w:sz w:val="21"/>
          <w:szCs w:val="21"/>
        </w:rPr>
        <w:t xml:space="preserve">2.   </w:t>
      </w:r>
      <w:r>
        <w:rPr>
          <w:color w:val="13294B"/>
          <w:sz w:val="21"/>
          <w:szCs w:val="21"/>
        </w:rPr>
        <w:t xml:space="preserve">  Access and Authorisation</w:t>
      </w:r>
    </w:p>
    <w:p>
      <w:pPr>
        <w:spacing w:after="140" w:line="260"/>
        <w:ind w:left="200"/>
      </w:pPr>
      <w:r>
        <w:rPr>
          <w:b/>
          <w:bCs/>
          <w:color w:val="B45309"/>
          <w:sz w:val="21"/>
          <w:szCs w:val="21"/>
        </w:rPr>
        <w:t xml:space="preserve">3.   </w:t>
      </w:r>
      <w:r>
        <w:rPr>
          <w:color w:val="13294B"/>
          <w:sz w:val="21"/>
          <w:szCs w:val="21"/>
        </w:rPr>
        <w:t xml:space="preserve">  Navigating the Register Console</w:t>
      </w:r>
    </w:p>
    <w:p>
      <w:pPr>
        <w:spacing w:after="140" w:line="260"/>
        <w:ind w:left="200"/>
      </w:pPr>
      <w:r>
        <w:rPr>
          <w:b/>
          <w:bCs/>
          <w:color w:val="B45309"/>
          <w:sz w:val="21"/>
          <w:szCs w:val="21"/>
        </w:rPr>
        <w:t xml:space="preserve">4.   </w:t>
      </w:r>
      <w:r>
        <w:rPr>
          <w:color w:val="13294B"/>
          <w:sz w:val="21"/>
          <w:szCs w:val="21"/>
        </w:rPr>
        <w:t xml:space="preserve">  Dashboard — Register Console</w:t>
      </w:r>
    </w:p>
    <w:p>
      <w:pPr>
        <w:spacing w:after="140" w:line="260"/>
        <w:ind w:left="200"/>
      </w:pPr>
      <w:r>
        <w:rPr>
          <w:b/>
          <w:bCs/>
          <w:color w:val="B45309"/>
          <w:sz w:val="21"/>
          <w:szCs w:val="21"/>
        </w:rPr>
        <w:t xml:space="preserve">5.   </w:t>
      </w:r>
      <w:r>
        <w:rPr>
          <w:color w:val="13294B"/>
          <w:sz w:val="21"/>
          <w:szCs w:val="21"/>
        </w:rPr>
        <w:t xml:space="preserve">  Registry Database</w:t>
      </w:r>
    </w:p>
    <w:p>
      <w:pPr>
        <w:spacing w:after="140" w:line="260"/>
        <w:ind w:left="200"/>
      </w:pPr>
      <w:r>
        <w:rPr>
          <w:b/>
          <w:bCs/>
          <w:color w:val="B45309"/>
          <w:sz w:val="21"/>
          <w:szCs w:val="21"/>
        </w:rPr>
        <w:t xml:space="preserve">6.   </w:t>
      </w:r>
      <w:r>
        <w:rPr>
          <w:color w:val="13294B"/>
          <w:sz w:val="21"/>
          <w:szCs w:val="21"/>
        </w:rPr>
        <w:t xml:space="preserve">  The Offender Dossier</w:t>
      </w:r>
    </w:p>
    <w:p>
      <w:pPr>
        <w:spacing w:after="140" w:line="260"/>
        <w:ind w:left="200"/>
      </w:pPr>
      <w:r>
        <w:rPr>
          <w:b/>
          <w:bCs/>
          <w:color w:val="B45309"/>
          <w:sz w:val="21"/>
          <w:szCs w:val="21"/>
        </w:rPr>
        <w:t xml:space="preserve">7.   </w:t>
      </w:r>
      <w:r>
        <w:rPr>
          <w:color w:val="13294B"/>
          <w:sz w:val="21"/>
          <w:szCs w:val="21"/>
        </w:rPr>
        <w:t xml:space="preserve">  Risk Tier Classification</w:t>
      </w:r>
    </w:p>
    <w:p>
      <w:pPr>
        <w:spacing w:after="140" w:line="260"/>
        <w:ind w:left="200"/>
      </w:pPr>
      <w:r>
        <w:rPr>
          <w:b/>
          <w:bCs/>
          <w:color w:val="B45309"/>
          <w:sz w:val="21"/>
          <w:szCs w:val="21"/>
        </w:rPr>
        <w:t xml:space="preserve">8.   </w:t>
      </w:r>
      <w:r>
        <w:rPr>
          <w:color w:val="13294B"/>
          <w:sz w:val="21"/>
          <w:szCs w:val="21"/>
        </w:rPr>
        <w:t xml:space="preserve">  Core Workflow — Processing a Clearance Request</w:t>
      </w:r>
    </w:p>
    <w:p>
      <w:pPr>
        <w:spacing w:after="140" w:line="260"/>
        <w:ind w:left="200"/>
      </w:pPr>
      <w:r>
        <w:rPr>
          <w:b/>
          <w:bCs/>
          <w:color w:val="B45309"/>
          <w:sz w:val="21"/>
          <w:szCs w:val="21"/>
        </w:rPr>
        <w:t xml:space="preserve">9.   </w:t>
      </w:r>
      <w:r>
        <w:rPr>
          <w:color w:val="13294B"/>
          <w:sz w:val="21"/>
          <w:szCs w:val="21"/>
        </w:rPr>
        <w:t xml:space="preserve">  Decision Gating Rules</w:t>
      </w:r>
    </w:p>
    <w:p>
      <w:pPr>
        <w:spacing w:after="140" w:line="260"/>
        <w:ind w:left="200"/>
      </w:pPr>
      <w:r>
        <w:rPr>
          <w:b/>
          <w:bCs/>
          <w:color w:val="B45309"/>
          <w:sz w:val="21"/>
          <w:szCs w:val="21"/>
        </w:rPr>
        <w:t xml:space="preserve">10.  </w:t>
      </w:r>
      <w:r>
        <w:rPr>
          <w:color w:val="13294B"/>
          <w:sz w:val="21"/>
          <w:szCs w:val="21"/>
        </w:rPr>
        <w:t xml:space="preserve">  Clearance History</w:t>
      </w:r>
    </w:p>
    <w:p>
      <w:pPr>
        <w:spacing w:after="140" w:line="260"/>
        <w:ind w:left="200"/>
      </w:pPr>
      <w:r>
        <w:rPr>
          <w:b/>
          <w:bCs/>
          <w:color w:val="B45309"/>
          <w:sz w:val="21"/>
          <w:szCs w:val="21"/>
        </w:rPr>
        <w:t xml:space="preserve">11.  </w:t>
      </w:r>
      <w:r>
        <w:rPr>
          <w:color w:val="13294B"/>
          <w:sz w:val="21"/>
          <w:szCs w:val="21"/>
        </w:rPr>
        <w:t xml:space="preserve">  Organization Approvals</w:t>
      </w:r>
    </w:p>
    <w:p>
      <w:pPr>
        <w:spacing w:after="140" w:line="260"/>
        <w:ind w:left="200"/>
      </w:pPr>
      <w:r>
        <w:rPr>
          <w:b/>
          <w:bCs/>
          <w:color w:val="B45309"/>
          <w:sz w:val="21"/>
          <w:szCs w:val="21"/>
        </w:rPr>
        <w:t xml:space="preserve">12.  </w:t>
      </w:r>
      <w:r>
        <w:rPr>
          <w:color w:val="13294B"/>
          <w:sz w:val="21"/>
          <w:szCs w:val="21"/>
        </w:rPr>
        <w:t xml:space="preserve">  Support Tickets</w:t>
      </w:r>
    </w:p>
    <w:p>
      <w:pPr>
        <w:spacing w:after="140" w:line="260"/>
        <w:ind w:left="200"/>
      </w:pPr>
      <w:r>
        <w:rPr>
          <w:b/>
          <w:bCs/>
          <w:color w:val="B45309"/>
          <w:sz w:val="21"/>
          <w:szCs w:val="21"/>
        </w:rPr>
        <w:t xml:space="preserve">13.  </w:t>
      </w:r>
      <w:r>
        <w:rPr>
          <w:color w:val="13294B"/>
          <w:sz w:val="21"/>
          <w:szCs w:val="21"/>
        </w:rPr>
        <w:t xml:space="preserve">  System Audit Log</w:t>
      </w:r>
    </w:p>
    <w:p>
      <w:pPr>
        <w:spacing w:after="140" w:line="260"/>
        <w:ind w:left="200"/>
      </w:pPr>
      <w:r>
        <w:rPr>
          <w:b/>
          <w:bCs/>
          <w:color w:val="B45309"/>
          <w:sz w:val="21"/>
          <w:szCs w:val="21"/>
        </w:rPr>
        <w:t xml:space="preserve">14.  </w:t>
      </w:r>
      <w:r>
        <w:rPr>
          <w:color w:val="13294B"/>
          <w:sz w:val="21"/>
          <w:szCs w:val="21"/>
        </w:rPr>
        <w:t xml:space="preserve">  Officer Profile</w:t>
      </w:r>
    </w:p>
    <w:p>
      <w:pPr>
        <w:spacing w:after="140" w:line="260"/>
        <w:ind w:left="200"/>
      </w:pPr>
      <w:r>
        <w:rPr>
          <w:b/>
          <w:bCs/>
          <w:color w:val="B45309"/>
          <w:sz w:val="21"/>
          <w:szCs w:val="21"/>
        </w:rPr>
        <w:t xml:space="preserve">15.  </w:t>
      </w:r>
      <w:r>
        <w:rPr>
          <w:color w:val="13294B"/>
          <w:sz w:val="21"/>
          <w:szCs w:val="21"/>
        </w:rPr>
        <w:t xml:space="preserve">  Officer Duties and Conduct</w:t>
      </w:r>
    </w:p>
    <w:p>
      <w:pPr>
        <w:spacing w:after="140" w:line="260"/>
        <w:ind w:left="200"/>
      </w:pPr>
      <w:r>
        <w:rPr>
          <w:b/>
          <w:bCs/>
          <w:color w:val="B45309"/>
          <w:sz w:val="21"/>
          <w:szCs w:val="21"/>
        </w:rPr>
        <w:t xml:space="preserve">16.  </w:t>
      </w:r>
      <w:r>
        <w:rPr>
          <w:color w:val="13294B"/>
          <w:sz w:val="21"/>
          <w:szCs w:val="21"/>
        </w:rPr>
        <w:t xml:space="preserve">  Current Status and Known Limitations</w:t>
      </w:r>
    </w:p>
    <w:p>
      <w:pPr>
        <w:spacing w:after="140" w:line="260"/>
        <w:ind w:left="200"/>
      </w:pPr>
      <w:r>
        <w:rPr>
          <w:b/>
          <w:bCs/>
          <w:color w:val="B45309"/>
          <w:sz w:val="21"/>
          <w:szCs w:val="21"/>
        </w:rPr>
        <w:t xml:space="preserve">17.  </w:t>
      </w:r>
      <w:r>
        <w:rPr>
          <w:color w:val="13294B"/>
          <w:sz w:val="21"/>
          <w:szCs w:val="21"/>
        </w:rPr>
        <w:t xml:space="preserve">  Quick Reference</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 Purpose and Scope of the Police Portal</w:t>
      </w:r>
    </w:p>
    <w:p>
      <w:pPr>
        <w:spacing w:after="120" w:line="276"/>
      </w:pPr>
      <w:r>
        <w:rPr>
          <w:color w:val="1F2937"/>
          <w:sz w:val="21"/>
          <w:szCs w:val="21"/>
        </w:rPr>
        <w:t xml:space="preserve">The Police and Administration portal — titled Register Console in the application — is the restricted side of the State Sexual Offender Registry. It is available only to vetted officers and is the only place where offender records can be searched, where clearance decisions are made, and where institutional access to the platform is granted or withheld.</w:t>
      </w:r>
    </w:p>
    <w:p>
      <w:pPr>
        <w:spacing w:after="120" w:line="276"/>
      </w:pPr>
      <w:r>
        <w:rPr>
          <w:color w:val="1F2937"/>
          <w:sz w:val="21"/>
          <w:szCs w:val="21"/>
        </w:rPr>
        <w:t xml:space="preserve">The portal supports four distinct areas of duty:</w:t>
      </w:r>
    </w:p>
    <w:p>
      <w:pPr>
        <w:pStyle w:val="ListParagraph"/>
        <w:numPr>
          <w:ilvl w:val="0"/>
          <w:numId w:val="2"/>
        </w:numPr>
        <w:spacing w:after="80" w:line="276"/>
      </w:pPr>
      <w:r>
        <w:rPr>
          <w:b/>
          <w:bCs/>
          <w:color w:val="111827"/>
          <w:sz w:val="21"/>
          <w:szCs w:val="21"/>
        </w:rPr>
        <w:t xml:space="preserve">Register custody. </w:t>
      </w:r>
      <w:r>
        <w:rPr>
          <w:color w:val="1F2937"/>
          <w:sz w:val="21"/>
          <w:szCs w:val="21"/>
        </w:rPr>
        <w:t xml:space="preserve">Search and inspect conviction-based offender records held on the state register.</w:t>
      </w:r>
    </w:p>
    <w:p>
      <w:pPr>
        <w:pStyle w:val="ListParagraph"/>
        <w:numPr>
          <w:ilvl w:val="0"/>
          <w:numId w:val="2"/>
        </w:numPr>
        <w:spacing w:after="80" w:line="276"/>
      </w:pPr>
      <w:r>
        <w:rPr>
          <w:b/>
          <w:bCs/>
          <w:color w:val="111827"/>
          <w:sz w:val="21"/>
          <w:szCs w:val="21"/>
        </w:rPr>
        <w:t xml:space="preserve">Clearance adjudication. </w:t>
      </w:r>
      <w:r>
        <w:rPr>
          <w:color w:val="1F2937"/>
          <w:sz w:val="21"/>
          <w:szCs w:val="21"/>
        </w:rPr>
        <w:t xml:space="preserve">Vet candidates submitted by registered institutions and issue or deny clearance.</w:t>
      </w:r>
    </w:p>
    <w:p>
      <w:pPr>
        <w:pStyle w:val="ListParagraph"/>
        <w:numPr>
          <w:ilvl w:val="0"/>
          <w:numId w:val="2"/>
        </w:numPr>
        <w:spacing w:after="80" w:line="276"/>
      </w:pPr>
      <w:r>
        <w:rPr>
          <w:b/>
          <w:bCs/>
          <w:color w:val="111827"/>
          <w:sz w:val="21"/>
          <w:szCs w:val="21"/>
        </w:rPr>
        <w:t xml:space="preserve">Access control. </w:t>
      </w:r>
      <w:r>
        <w:rPr>
          <w:color w:val="1F2937"/>
          <w:sz w:val="21"/>
          <w:szCs w:val="21"/>
        </w:rPr>
        <w:t xml:space="preserve">Approve or reject institutional registrations before they can request clearances.</w:t>
      </w:r>
    </w:p>
    <w:p>
      <w:pPr>
        <w:pStyle w:val="ListParagraph"/>
        <w:numPr>
          <w:ilvl w:val="0"/>
          <w:numId w:val="2"/>
        </w:numPr>
        <w:spacing w:after="80" w:line="276"/>
      </w:pPr>
      <w:r>
        <w:rPr>
          <w:b/>
          <w:bCs/>
          <w:color w:val="111827"/>
          <w:sz w:val="21"/>
          <w:szCs w:val="21"/>
        </w:rPr>
        <w:t xml:space="preserve">Oversight. </w:t>
      </w:r>
      <w:r>
        <w:rPr>
          <w:color w:val="1F2937"/>
          <w:sz w:val="21"/>
          <w:szCs w:val="21"/>
        </w:rPr>
        <w:t xml:space="preserve">Monitor the immutable audit log and respond to institutional support queries.</w:t>
      </w:r>
    </w:p>
    <w:p>
      <w:pPr>
        <w:spacing w:after="120"/>
      </w:pPr>
    </w:p>
    <w:tbl>
      <w:tblPr>
        <w:tblW w:type="dxa" w:w="9026"/>
        <w:tblBorders>
          <w:top w:val="single" w:color="FCD34D" w:sz="4"/>
          <w:left w:val="single" w:color="B45309" w:sz="18"/>
          <w:bottom w:val="single" w:color="FCD34D" w:sz="4"/>
          <w:right w:val="single" w:color="FCD34D" w:sz="4"/>
          <w:insideH w:val="none"/>
          <w:insideV w:val="none"/>
        </w:tblBorders>
      </w:tblPr>
      <w:tblGrid>
        <w:gridCol w:w="9026"/>
      </w:tblGrid>
      <w:tr>
        <w:tc>
          <w:tcPr>
            <w:tcW w:type="dxa" w:w="9026"/>
            <w:shd w:fill="FFFBEB" w:color="auto" w:val="clear"/>
            <w:tcMar>
              <w:top w:type="dxa" w:w="140"/>
              <w:left w:type="dxa" w:w="180"/>
              <w:bottom w:type="dxa" w:w="140"/>
              <w:right w:type="dxa" w:w="180"/>
            </w:tcMar>
          </w:tcPr>
          <w:p>
            <w:pPr>
              <w:spacing w:after="60"/>
            </w:pPr>
            <w:r>
              <w:rPr>
                <w:b/>
                <w:bCs/>
                <w:color w:val="92400E"/>
                <w:sz w:val="20"/>
                <w:szCs w:val="20"/>
              </w:rPr>
              <w:t xml:space="preserve">Controlled disclosure is enforced at the interface</w:t>
            </w:r>
          </w:p>
          <w:p>
            <w:pPr>
              <w:spacing w:after="0" w:line="270"/>
            </w:pPr>
            <w:r>
              <w:rPr>
                <w:color w:val="451A03"/>
                <w:sz w:val="20"/>
                <w:szCs w:val="20"/>
              </w:rPr>
              <w:t xml:space="preserve">Requesting organizations receive only a decision — cleared or rejected. No offender identity, record ID or offence detail is ever transmitted to the requester. Banners across the police portal restate this obligation on every screen where registry data is visible.</w:t>
            </w:r>
          </w:p>
        </w:tc>
      </w:tr>
    </w:tbl>
    <w:p>
      <w:pPr>
        <w:pStyle w:val="Heading1"/>
        <w:pBdr>
          <w:bottom w:val="single" w:color="B45309" w:sz="12" w:space="6"/>
        </w:pBdr>
        <w:spacing w:after="160" w:before="360"/>
      </w:pPr>
      <w:r>
        <w:rPr>
          <w:rFonts w:ascii="Georgia" w:cs="Georgia" w:eastAsia="Georgia" w:hAnsi="Georgia"/>
          <w:b/>
          <w:bCs/>
          <w:color w:val="13294B"/>
          <w:sz w:val="30"/>
          <w:szCs w:val="30"/>
        </w:rPr>
        <w:t xml:space="preserve">2. Access and Authorisation</w:t>
      </w:r>
    </w:p>
    <w:p>
      <w:pPr>
        <w:pStyle w:val="Heading2"/>
        <w:spacing w:after="120" w:before="280"/>
      </w:pPr>
      <w:r>
        <w:rPr>
          <w:rFonts w:ascii="Georgia" w:cs="Georgia" w:eastAsia="Georgia" w:hAnsi="Georgia"/>
          <w:b/>
          <w:bCs/>
          <w:color w:val="1E3A8A"/>
          <w:sz w:val="24"/>
          <w:szCs w:val="24"/>
        </w:rPr>
        <w:t xml:space="preserve">Account provisioning</w:t>
      </w:r>
    </w:p>
    <w:p>
      <w:pPr>
        <w:spacing w:after="120" w:line="276"/>
      </w:pPr>
      <w:r>
        <w:rPr>
          <w:color w:val="1F2937"/>
          <w:sz w:val="21"/>
          <w:szCs w:val="21"/>
        </w:rPr>
        <w:t xml:space="preserve">Police accounts cannot be self-registered. The registration path in the application is available to organizations only; selecting the Police Officer role on the login screen removes the registration option entirely. Officer credentials are provisioned departmentally and carry a badge ID, rank and recorded clearance level.</w:t>
      </w:r>
    </w:p>
    <w:p>
      <w:pPr>
        <w:pStyle w:val="Heading2"/>
        <w:spacing w:after="120" w:before="280"/>
      </w:pPr>
      <w:r>
        <w:rPr>
          <w:rFonts w:ascii="Georgia" w:cs="Georgia" w:eastAsia="Georgia" w:hAnsi="Georgia"/>
          <w:b/>
          <w:bCs/>
          <w:color w:val="1E3A8A"/>
          <w:sz w:val="24"/>
          <w:szCs w:val="24"/>
        </w:rPr>
        <w:t xml:space="preserve">Signing in</w:t>
      </w:r>
    </w:p>
    <w:p>
      <w:pPr>
        <w:spacing w:after="120" w:line="276"/>
      </w:pPr>
      <w:r>
        <w:rPr>
          <w:color w:val="1F2937"/>
          <w:sz w:val="21"/>
          <w:szCs w:val="21"/>
        </w:rPr>
        <w:t xml:space="preserve">Select the Police Officer role first, then use one of the following:</w:t>
      </w:r>
    </w:p>
    <w:p>
      <w:pPr>
        <w:pStyle w:val="ListParagraph"/>
        <w:numPr>
          <w:ilvl w:val="0"/>
          <w:numId w:val="2"/>
        </w:numPr>
        <w:spacing w:after="80" w:line="276"/>
      </w:pPr>
      <w:r>
        <w:rPr>
          <w:b/>
          <w:bCs/>
          <w:color w:val="111827"/>
          <w:sz w:val="21"/>
          <w:szCs w:val="21"/>
        </w:rPr>
        <w:t xml:space="preserve">Officer username and password </w:t>
      </w:r>
      <w:r>
        <w:rPr>
          <w:color w:val="1F2937"/>
          <w:sz w:val="21"/>
          <w:szCs w:val="21"/>
        </w:rPr>
        <w:t xml:space="preserve">— the standard route. The username follows the departmental format, for example insp.reddy.</w:t>
      </w:r>
    </w:p>
    <w:p>
      <w:pPr>
        <w:pStyle w:val="ListParagraph"/>
        <w:numPr>
          <w:ilvl w:val="0"/>
          <w:numId w:val="2"/>
        </w:numPr>
        <w:spacing w:after="80" w:line="276"/>
      </w:pPr>
      <w:r>
        <w:rPr>
          <w:b/>
          <w:bCs/>
          <w:color w:val="111827"/>
          <w:sz w:val="21"/>
          <w:szCs w:val="21"/>
        </w:rPr>
        <w:t xml:space="preserve">OTP sign-in </w:t>
      </w:r>
      <w:r>
        <w:rPr>
          <w:color w:val="1F2937"/>
          <w:sz w:val="21"/>
          <w:szCs w:val="21"/>
        </w:rPr>
        <w:t xml:space="preserve">— request a six-digit one-time password against the officer username and enter it to authenticate.</w:t>
      </w:r>
    </w:p>
    <w:p>
      <w:pPr>
        <w:pStyle w:val="ListParagraph"/>
        <w:numPr>
          <w:ilvl w:val="0"/>
          <w:numId w:val="2"/>
        </w:numPr>
        <w:spacing w:after="80" w:line="276"/>
      </w:pPr>
      <w:r>
        <w:rPr>
          <w:b/>
          <w:bCs/>
          <w:color w:val="111827"/>
          <w:sz w:val="21"/>
          <w:szCs w:val="21"/>
        </w:rPr>
        <w:t xml:space="preserve">Account recovery </w:t>
      </w:r>
      <w:r>
        <w:rPr>
          <w:color w:val="1F2937"/>
          <w:sz w:val="21"/>
          <w:szCs w:val="21"/>
        </w:rPr>
        <w:t xml:space="preserve">— verify the registered mobile number by OTP, then optionally set a new password of at least eight characters.</w:t>
      </w:r>
    </w:p>
    <w:p>
      <w:pPr>
        <w:spacing w:after="120"/>
      </w:pPr>
    </w:p>
    <w:p>
      <w:pPr>
        <w:spacing w:after="120" w:line="276"/>
      </w:pPr>
      <w:r>
        <w:rPr>
          <w:color w:val="1F2937"/>
          <w:sz w:val="21"/>
          <w:szCs w:val="21"/>
        </w:rPr>
        <w:t xml:space="preserve">Sessions are carried by a secure HTTP-only cookie. Signing out from the account menu terminates the session immediately.</w:t>
      </w:r>
    </w:p>
    <w:p>
      <w:pPr>
        <w:pStyle w:val="Heading2"/>
        <w:spacing w:after="120" w:before="280"/>
      </w:pPr>
      <w:r>
        <w:rPr>
          <w:rFonts w:ascii="Georgia" w:cs="Georgia" w:eastAsia="Georgia" w:hAnsi="Georgia"/>
          <w:b/>
          <w:bCs/>
          <w:color w:val="1E3A8A"/>
          <w:sz w:val="24"/>
          <w:szCs w:val="24"/>
        </w:rPr>
        <w:t xml:space="preserve">Role enforcement</w:t>
      </w:r>
    </w:p>
    <w:p>
      <w:pPr>
        <w:spacing w:after="120" w:line="276"/>
      </w:pPr>
      <w:r>
        <w:rPr>
          <w:color w:val="1F2937"/>
          <w:sz w:val="21"/>
          <w:szCs w:val="21"/>
        </w:rPr>
        <w:t xml:space="preserve">Every police route is guarded. An organization account that attempts to reach a police URL directly is redirected to the portal home, and police-only navigation items are never rendered for organization sessions. Route protection is applied at the router level rather than being hidden in the interface alone.</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3. Navigating the Register Console</w:t>
      </w:r>
    </w:p>
    <w:p>
      <w:pPr>
        <w:spacing w:after="120" w:line="276"/>
      </w:pPr>
      <w:r>
        <w:rPr>
          <w:color w:val="1F2937"/>
          <w:sz w:val="21"/>
          <w:szCs w:val="21"/>
        </w:rPr>
        <w:t xml:space="preserve">The portal shell is identical in structure to the organization side — a fixed sidebar on desktop, a slide-out drawer on smaller screens, and a header showing the current section with an account menu. The navigation content, however, is entirely different.</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2900"/>
        <w:gridCol w:w="4626"/>
      </w:tblGrid>
      <w:tr>
        <w:trPr>
          <w:tblHeader/>
        </w:trPr>
        <w:tc>
          <w:tcPr>
            <w:tcW w:type="dxa" w:w="15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Group</w:t>
            </w:r>
          </w:p>
        </w:tc>
        <w:tc>
          <w:tcPr>
            <w:tcW w:type="dxa" w:w="29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Item</w:t>
            </w:r>
          </w:p>
        </w:tc>
        <w:tc>
          <w:tcPr>
            <w:tcW w:type="dxa" w:w="46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Purpose</w:t>
            </w:r>
          </w:p>
        </w:tc>
      </w:tr>
      <w:tr>
        <w:tc>
          <w:tcPr>
            <w:tcW w:type="dxa" w:w="1500"/>
            <w:tcMar>
              <w:top w:type="dxa" w:w="90"/>
              <w:left w:type="dxa" w:w="130"/>
              <w:bottom w:type="dxa" w:w="90"/>
              <w:right w:type="dxa" w:w="130"/>
            </w:tcMar>
            <w:vAlign w:val="center"/>
          </w:tcPr>
          <w:p>
            <w:pPr>
              <w:spacing w:after="0" w:line="260"/>
            </w:pPr>
            <w:r>
              <w:rPr>
                <w:color w:val="1F2937"/>
                <w:sz w:val="20"/>
                <w:szCs w:val="20"/>
              </w:rPr>
              <w:t xml:space="preserve">—</w:t>
            </w:r>
          </w:p>
        </w:tc>
        <w:tc>
          <w:tcPr>
            <w:tcW w:type="dxa" w:w="2900"/>
            <w:tcMar>
              <w:top w:type="dxa" w:w="90"/>
              <w:left w:type="dxa" w:w="130"/>
              <w:bottom w:type="dxa" w:w="90"/>
              <w:right w:type="dxa" w:w="130"/>
            </w:tcMar>
            <w:vAlign w:val="center"/>
          </w:tcPr>
          <w:p>
            <w:pPr>
              <w:spacing w:after="0" w:line="260"/>
            </w:pPr>
            <w:r>
              <w:rPr>
                <w:color w:val="1F2937"/>
                <w:sz w:val="20"/>
                <w:szCs w:val="20"/>
              </w:rPr>
              <w:t xml:space="preserve">Dashboard</w:t>
            </w:r>
          </w:p>
        </w:tc>
        <w:tc>
          <w:tcPr>
            <w:tcW w:type="dxa" w:w="4626"/>
            <w:tcMar>
              <w:top w:type="dxa" w:w="90"/>
              <w:left w:type="dxa" w:w="130"/>
              <w:bottom w:type="dxa" w:w="90"/>
              <w:right w:type="dxa" w:w="130"/>
            </w:tcMar>
            <w:vAlign w:val="center"/>
          </w:tcPr>
          <w:p>
            <w:pPr>
              <w:spacing w:after="0" w:line="260"/>
            </w:pPr>
            <w:r>
              <w:rPr>
                <w:color w:val="1F2937"/>
                <w:sz w:val="20"/>
                <w:szCs w:val="20"/>
              </w:rPr>
              <w:t xml:space="preserve">Register metrics, jurisdiction map and live queues</w:t>
            </w:r>
          </w:p>
        </w:tc>
      </w:tr>
      <w:tr>
        <w:tc>
          <w:tcPr>
            <w:tcW w:type="dxa" w:w="1500"/>
            <w:shd w:fill="F1F5F9" w:color="auto" w:val="clear"/>
            <w:tcMar>
              <w:top w:type="dxa" w:w="90"/>
              <w:left w:type="dxa" w:w="130"/>
              <w:bottom w:type="dxa" w:w="90"/>
              <w:right w:type="dxa" w:w="130"/>
            </w:tcMar>
            <w:vAlign w:val="center"/>
          </w:tcPr>
          <w:p>
            <w:pPr>
              <w:spacing w:after="0" w:line="260"/>
            </w:pPr>
            <w:r>
              <w:rPr>
                <w:color w:val="1F2937"/>
                <w:sz w:val="20"/>
                <w:szCs w:val="20"/>
              </w:rPr>
              <w:t xml:space="preserve">Register</w:t>
            </w:r>
          </w:p>
        </w:tc>
        <w:tc>
          <w:tcPr>
            <w:tcW w:type="dxa" w:w="2900"/>
            <w:shd w:fill="F1F5F9" w:color="auto" w:val="clear"/>
            <w:tcMar>
              <w:top w:type="dxa" w:w="90"/>
              <w:left w:type="dxa" w:w="130"/>
              <w:bottom w:type="dxa" w:w="90"/>
              <w:right w:type="dxa" w:w="130"/>
            </w:tcMar>
            <w:vAlign w:val="center"/>
          </w:tcPr>
          <w:p>
            <w:pPr>
              <w:spacing w:after="0" w:line="260"/>
            </w:pPr>
            <w:r>
              <w:rPr>
                <w:color w:val="1F2937"/>
                <w:sz w:val="20"/>
                <w:szCs w:val="20"/>
              </w:rPr>
              <w:t xml:space="preserve">Registry Database</w:t>
            </w:r>
          </w:p>
        </w:tc>
        <w:tc>
          <w:tcPr>
            <w:tcW w:type="dxa" w:w="4626"/>
            <w:shd w:fill="F1F5F9" w:color="auto" w:val="clear"/>
            <w:tcMar>
              <w:top w:type="dxa" w:w="90"/>
              <w:left w:type="dxa" w:w="130"/>
              <w:bottom w:type="dxa" w:w="90"/>
              <w:right w:type="dxa" w:w="130"/>
            </w:tcMar>
            <w:vAlign w:val="center"/>
          </w:tcPr>
          <w:p>
            <w:pPr>
              <w:spacing w:after="0" w:line="260"/>
            </w:pPr>
            <w:r>
              <w:rPr>
                <w:color w:val="1F2937"/>
                <w:sz w:val="20"/>
                <w:szCs w:val="20"/>
              </w:rPr>
              <w:t xml:space="preserve">Search disclosable offender records</w:t>
            </w:r>
          </w:p>
        </w:tc>
      </w:tr>
      <w:tr>
        <w:tc>
          <w:tcPr>
            <w:tcW w:type="dxa" w:w="1500"/>
            <w:tcMar>
              <w:top w:type="dxa" w:w="90"/>
              <w:left w:type="dxa" w:w="130"/>
              <w:bottom w:type="dxa" w:w="90"/>
              <w:right w:type="dxa" w:w="130"/>
            </w:tcMar>
            <w:vAlign w:val="center"/>
          </w:tcPr>
          <w:p>
            <w:pPr>
              <w:spacing w:after="0" w:line="260"/>
            </w:pPr>
            <w:r>
              <w:rPr>
                <w:color w:val="1F2937"/>
                <w:sz w:val="20"/>
                <w:szCs w:val="20"/>
              </w:rPr>
              <w:t xml:space="preserve">Register</w:t>
            </w:r>
          </w:p>
        </w:tc>
        <w:tc>
          <w:tcPr>
            <w:tcW w:type="dxa" w:w="2900"/>
            <w:tcMar>
              <w:top w:type="dxa" w:w="90"/>
              <w:left w:type="dxa" w:w="130"/>
              <w:bottom w:type="dxa" w:w="90"/>
              <w:right w:type="dxa" w:w="130"/>
            </w:tcMar>
            <w:vAlign w:val="center"/>
          </w:tcPr>
          <w:p>
            <w:pPr>
              <w:spacing w:after="0" w:line="260"/>
            </w:pPr>
            <w:r>
              <w:rPr>
                <w:color w:val="1F2937"/>
                <w:sz w:val="20"/>
                <w:szCs w:val="20"/>
              </w:rPr>
              <w:t xml:space="preserve">Risk Tier Guide</w:t>
            </w:r>
          </w:p>
        </w:tc>
        <w:tc>
          <w:tcPr>
            <w:tcW w:type="dxa" w:w="4626"/>
            <w:tcMar>
              <w:top w:type="dxa" w:w="90"/>
              <w:left w:type="dxa" w:w="130"/>
              <w:bottom w:type="dxa" w:w="90"/>
              <w:right w:type="dxa" w:w="130"/>
            </w:tcMar>
            <w:vAlign w:val="center"/>
          </w:tcPr>
          <w:p>
            <w:pPr>
              <w:spacing w:after="0" w:line="260"/>
            </w:pPr>
            <w:r>
              <w:rPr>
                <w:color w:val="1F2937"/>
                <w:sz w:val="20"/>
                <w:szCs w:val="20"/>
              </w:rPr>
              <w:t xml:space="preserve">Offender classification reference</w:t>
            </w:r>
          </w:p>
        </w:tc>
      </w:tr>
      <w:tr>
        <w:tc>
          <w:tcPr>
            <w:tcW w:type="dxa" w:w="1500"/>
            <w:shd w:fill="F1F5F9" w:color="auto" w:val="clear"/>
            <w:tcMar>
              <w:top w:type="dxa" w:w="90"/>
              <w:left w:type="dxa" w:w="130"/>
              <w:bottom w:type="dxa" w:w="90"/>
              <w:right w:type="dxa" w:w="130"/>
            </w:tcMar>
            <w:vAlign w:val="center"/>
          </w:tcPr>
          <w:p>
            <w:pPr>
              <w:spacing w:after="0" w:line="260"/>
            </w:pPr>
            <w:r>
              <w:rPr>
                <w:color w:val="1F2937"/>
                <w:sz w:val="20"/>
                <w:szCs w:val="20"/>
              </w:rPr>
              <w:t xml:space="preserve">Clearances</w:t>
            </w:r>
          </w:p>
        </w:tc>
        <w:tc>
          <w:tcPr>
            <w:tcW w:type="dxa" w:w="2900"/>
            <w:shd w:fill="F1F5F9" w:color="auto" w:val="clear"/>
            <w:tcMar>
              <w:top w:type="dxa" w:w="90"/>
              <w:left w:type="dxa" w:w="130"/>
              <w:bottom w:type="dxa" w:w="90"/>
              <w:right w:type="dxa" w:w="130"/>
            </w:tcMar>
            <w:vAlign w:val="center"/>
          </w:tcPr>
          <w:p>
            <w:pPr>
              <w:spacing w:after="0" w:line="260"/>
            </w:pPr>
            <w:r>
              <w:rPr>
                <w:color w:val="1F2937"/>
                <w:sz w:val="20"/>
                <w:szCs w:val="20"/>
              </w:rPr>
              <w:t xml:space="preserve">Pending Clearances</w:t>
            </w:r>
          </w:p>
        </w:tc>
        <w:tc>
          <w:tcPr>
            <w:tcW w:type="dxa" w:w="4626"/>
            <w:shd w:fill="F1F5F9" w:color="auto" w:val="clear"/>
            <w:tcMar>
              <w:top w:type="dxa" w:w="90"/>
              <w:left w:type="dxa" w:w="130"/>
              <w:bottom w:type="dxa" w:w="90"/>
              <w:right w:type="dxa" w:w="130"/>
            </w:tcMar>
            <w:vAlign w:val="center"/>
          </w:tcPr>
          <w:p>
            <w:pPr>
              <w:spacing w:after="0" w:line="260"/>
            </w:pPr>
            <w:r>
              <w:rPr>
                <w:color w:val="1F2937"/>
                <w:sz w:val="20"/>
                <w:szCs w:val="20"/>
              </w:rPr>
              <w:t xml:space="preserve">Process candidate clearance requests</w:t>
            </w:r>
          </w:p>
        </w:tc>
      </w:tr>
      <w:tr>
        <w:tc>
          <w:tcPr>
            <w:tcW w:type="dxa" w:w="1500"/>
            <w:tcMar>
              <w:top w:type="dxa" w:w="90"/>
              <w:left w:type="dxa" w:w="130"/>
              <w:bottom w:type="dxa" w:w="90"/>
              <w:right w:type="dxa" w:w="130"/>
            </w:tcMar>
            <w:vAlign w:val="center"/>
          </w:tcPr>
          <w:p>
            <w:pPr>
              <w:spacing w:after="0" w:line="260"/>
            </w:pPr>
            <w:r>
              <w:rPr>
                <w:color w:val="1F2937"/>
                <w:sz w:val="20"/>
                <w:szCs w:val="20"/>
              </w:rPr>
              <w:t xml:space="preserve">Clearances</w:t>
            </w:r>
          </w:p>
        </w:tc>
        <w:tc>
          <w:tcPr>
            <w:tcW w:type="dxa" w:w="2900"/>
            <w:tcMar>
              <w:top w:type="dxa" w:w="90"/>
              <w:left w:type="dxa" w:w="130"/>
              <w:bottom w:type="dxa" w:w="90"/>
              <w:right w:type="dxa" w:w="130"/>
            </w:tcMar>
            <w:vAlign w:val="center"/>
          </w:tcPr>
          <w:p>
            <w:pPr>
              <w:spacing w:after="0" w:line="260"/>
            </w:pPr>
            <w:r>
              <w:rPr>
                <w:color w:val="1F2937"/>
                <w:sz w:val="20"/>
                <w:szCs w:val="20"/>
              </w:rPr>
              <w:t xml:space="preserve">Clearance History</w:t>
            </w:r>
          </w:p>
        </w:tc>
        <w:tc>
          <w:tcPr>
            <w:tcW w:type="dxa" w:w="4626"/>
            <w:tcMar>
              <w:top w:type="dxa" w:w="90"/>
              <w:left w:type="dxa" w:w="130"/>
              <w:bottom w:type="dxa" w:w="90"/>
              <w:right w:type="dxa" w:w="130"/>
            </w:tcMar>
            <w:vAlign w:val="center"/>
          </w:tcPr>
          <w:p>
            <w:pPr>
              <w:spacing w:after="0" w:line="260"/>
            </w:pPr>
            <w:r>
              <w:rPr>
                <w:color w:val="1F2937"/>
                <w:sz w:val="20"/>
                <w:szCs w:val="20"/>
              </w:rPr>
              <w:t xml:space="preserve">Completed clearance decisions</w:t>
            </w:r>
          </w:p>
        </w:tc>
      </w:tr>
      <w:tr>
        <w:tc>
          <w:tcPr>
            <w:tcW w:type="dxa" w:w="1500"/>
            <w:shd w:fill="F1F5F9" w:color="auto" w:val="clear"/>
            <w:tcMar>
              <w:top w:type="dxa" w:w="90"/>
              <w:left w:type="dxa" w:w="130"/>
              <w:bottom w:type="dxa" w:w="90"/>
              <w:right w:type="dxa" w:w="130"/>
            </w:tcMar>
            <w:vAlign w:val="center"/>
          </w:tcPr>
          <w:p>
            <w:pPr>
              <w:spacing w:after="0" w:line="260"/>
            </w:pPr>
            <w:r>
              <w:rPr>
                <w:color w:val="1F2937"/>
                <w:sz w:val="20"/>
                <w:szCs w:val="20"/>
              </w:rPr>
              <w:t xml:space="preserve">Clearances</w:t>
            </w:r>
          </w:p>
        </w:tc>
        <w:tc>
          <w:tcPr>
            <w:tcW w:type="dxa" w:w="2900"/>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 Approvals</w:t>
            </w:r>
          </w:p>
        </w:tc>
        <w:tc>
          <w:tcPr>
            <w:tcW w:type="dxa" w:w="4626"/>
            <w:shd w:fill="F1F5F9" w:color="auto" w:val="clear"/>
            <w:tcMar>
              <w:top w:type="dxa" w:w="90"/>
              <w:left w:type="dxa" w:w="130"/>
              <w:bottom w:type="dxa" w:w="90"/>
              <w:right w:type="dxa" w:w="130"/>
            </w:tcMar>
            <w:vAlign w:val="center"/>
          </w:tcPr>
          <w:p>
            <w:pPr>
              <w:spacing w:after="0" w:line="260"/>
            </w:pPr>
            <w:r>
              <w:rPr>
                <w:color w:val="1F2937"/>
                <w:sz w:val="20"/>
                <w:szCs w:val="20"/>
              </w:rPr>
              <w:t xml:space="preserve">Approve portal access for institutions</w:t>
            </w:r>
          </w:p>
        </w:tc>
      </w:tr>
      <w:tr>
        <w:tc>
          <w:tcPr>
            <w:tcW w:type="dxa" w:w="1500"/>
            <w:tcMar>
              <w:top w:type="dxa" w:w="90"/>
              <w:left w:type="dxa" w:w="130"/>
              <w:bottom w:type="dxa" w:w="90"/>
              <w:right w:type="dxa" w:w="130"/>
            </w:tcMar>
            <w:vAlign w:val="center"/>
          </w:tcPr>
          <w:p>
            <w:pPr>
              <w:spacing w:after="0" w:line="260"/>
            </w:pPr>
            <w:r>
              <w:rPr>
                <w:color w:val="1F2937"/>
                <w:sz w:val="20"/>
                <w:szCs w:val="20"/>
              </w:rPr>
              <w:t xml:space="preserve">Clearances</w:t>
            </w:r>
          </w:p>
        </w:tc>
        <w:tc>
          <w:tcPr>
            <w:tcW w:type="dxa" w:w="2900"/>
            <w:tcMar>
              <w:top w:type="dxa" w:w="90"/>
              <w:left w:type="dxa" w:w="130"/>
              <w:bottom w:type="dxa" w:w="90"/>
              <w:right w:type="dxa" w:w="130"/>
            </w:tcMar>
            <w:vAlign w:val="center"/>
          </w:tcPr>
          <w:p>
            <w:pPr>
              <w:spacing w:after="0" w:line="260"/>
            </w:pPr>
            <w:r>
              <w:rPr>
                <w:color w:val="1F2937"/>
                <w:sz w:val="20"/>
                <w:szCs w:val="20"/>
              </w:rPr>
              <w:t xml:space="preserve">Support Tickets</w:t>
            </w:r>
          </w:p>
        </w:tc>
        <w:tc>
          <w:tcPr>
            <w:tcW w:type="dxa" w:w="4626"/>
            <w:tcMar>
              <w:top w:type="dxa" w:w="90"/>
              <w:left w:type="dxa" w:w="130"/>
              <w:bottom w:type="dxa" w:w="90"/>
              <w:right w:type="dxa" w:w="130"/>
            </w:tcMar>
            <w:vAlign w:val="center"/>
          </w:tcPr>
          <w:p>
            <w:pPr>
              <w:spacing w:after="0" w:line="260"/>
            </w:pPr>
            <w:r>
              <w:rPr>
                <w:color w:val="1F2937"/>
                <w:sz w:val="20"/>
                <w:szCs w:val="20"/>
              </w:rPr>
              <w:t xml:space="preserve">Institutional inquiries and support</w:t>
            </w:r>
          </w:p>
        </w:tc>
      </w:tr>
      <w:tr>
        <w:tc>
          <w:tcPr>
            <w:tcW w:type="dxa" w:w="1500"/>
            <w:shd w:fill="F1F5F9" w:color="auto" w:val="clear"/>
            <w:tcMar>
              <w:top w:type="dxa" w:w="90"/>
              <w:left w:type="dxa" w:w="130"/>
              <w:bottom w:type="dxa" w:w="90"/>
              <w:right w:type="dxa" w:w="130"/>
            </w:tcMar>
            <w:vAlign w:val="center"/>
          </w:tcPr>
          <w:p>
            <w:pPr>
              <w:spacing w:after="0" w:line="260"/>
            </w:pPr>
            <w:r>
              <w:rPr>
                <w:color w:val="1F2937"/>
                <w:sz w:val="20"/>
                <w:szCs w:val="20"/>
              </w:rPr>
              <w:t xml:space="preserve">Oversight</w:t>
            </w:r>
          </w:p>
        </w:tc>
        <w:tc>
          <w:tcPr>
            <w:tcW w:type="dxa" w:w="2900"/>
            <w:shd w:fill="F1F5F9" w:color="auto" w:val="clear"/>
            <w:tcMar>
              <w:top w:type="dxa" w:w="90"/>
              <w:left w:type="dxa" w:w="130"/>
              <w:bottom w:type="dxa" w:w="90"/>
              <w:right w:type="dxa" w:w="130"/>
            </w:tcMar>
            <w:vAlign w:val="center"/>
          </w:tcPr>
          <w:p>
            <w:pPr>
              <w:spacing w:after="0" w:line="260"/>
            </w:pPr>
            <w:r>
              <w:rPr>
                <w:color w:val="1F2937"/>
                <w:sz w:val="20"/>
                <w:szCs w:val="20"/>
              </w:rPr>
              <w:t xml:space="preserve">System Audit Log</w:t>
            </w:r>
          </w:p>
        </w:tc>
        <w:tc>
          <w:tcPr>
            <w:tcW w:type="dxa" w:w="4626"/>
            <w:shd w:fill="F1F5F9" w:color="auto" w:val="clear"/>
            <w:tcMar>
              <w:top w:type="dxa" w:w="90"/>
              <w:left w:type="dxa" w:w="130"/>
              <w:bottom w:type="dxa" w:w="90"/>
              <w:right w:type="dxa" w:w="130"/>
            </w:tcMar>
            <w:vAlign w:val="center"/>
          </w:tcPr>
          <w:p>
            <w:pPr>
              <w:spacing w:after="0" w:line="260"/>
            </w:pPr>
            <w:r>
              <w:rPr>
                <w:color w:val="1F2937"/>
                <w:sz w:val="20"/>
                <w:szCs w:val="20"/>
              </w:rPr>
              <w:t xml:space="preserve">Immutable record of system access</w:t>
            </w:r>
          </w:p>
        </w:tc>
      </w:tr>
      <w:tr>
        <w:tc>
          <w:tcPr>
            <w:tcW w:type="dxa" w:w="1500"/>
            <w:tcMar>
              <w:top w:type="dxa" w:w="90"/>
              <w:left w:type="dxa" w:w="130"/>
              <w:bottom w:type="dxa" w:w="90"/>
              <w:right w:type="dxa" w:w="130"/>
            </w:tcMar>
            <w:vAlign w:val="center"/>
          </w:tcPr>
          <w:p>
            <w:pPr>
              <w:spacing w:after="0" w:line="260"/>
            </w:pPr>
            <w:r>
              <w:rPr>
                <w:color w:val="1F2937"/>
                <w:sz w:val="20"/>
                <w:szCs w:val="20"/>
              </w:rPr>
              <w:t xml:space="preserve">Account</w:t>
            </w:r>
          </w:p>
        </w:tc>
        <w:tc>
          <w:tcPr>
            <w:tcW w:type="dxa" w:w="2900"/>
            <w:tcMar>
              <w:top w:type="dxa" w:w="90"/>
              <w:left w:type="dxa" w:w="130"/>
              <w:bottom w:type="dxa" w:w="90"/>
              <w:right w:type="dxa" w:w="130"/>
            </w:tcMar>
            <w:vAlign w:val="center"/>
          </w:tcPr>
          <w:p>
            <w:pPr>
              <w:spacing w:after="0" w:line="260"/>
            </w:pPr>
            <w:r>
              <w:rPr>
                <w:color w:val="1F2937"/>
                <w:sz w:val="20"/>
                <w:szCs w:val="20"/>
              </w:rPr>
              <w:t xml:space="preserve">Officer Profile</w:t>
            </w:r>
          </w:p>
        </w:tc>
        <w:tc>
          <w:tcPr>
            <w:tcW w:type="dxa" w:w="4626"/>
            <w:tcMar>
              <w:top w:type="dxa" w:w="90"/>
              <w:left w:type="dxa" w:w="130"/>
              <w:bottom w:type="dxa" w:w="90"/>
              <w:right w:type="dxa" w:w="130"/>
            </w:tcMar>
            <w:vAlign w:val="center"/>
          </w:tcPr>
          <w:p>
            <w:pPr>
              <w:spacing w:after="0" w:line="260"/>
            </w:pPr>
            <w:r>
              <w:rPr>
                <w:color w:val="1F2937"/>
                <w:sz w:val="20"/>
                <w:szCs w:val="20"/>
              </w:rPr>
              <w:t xml:space="preserve">Your officer credentials</w:t>
            </w:r>
          </w:p>
        </w:tc>
      </w:tr>
    </w:tbl>
    <w:p>
      <w:pPr>
        <w:spacing w:after="200"/>
      </w:pPr>
    </w:p>
    <w:p>
      <w:pPr>
        <w:spacing w:after="120" w:line="276"/>
      </w:pPr>
      <w:r>
        <w:rPr>
          <w:color w:val="1F2937"/>
          <w:sz w:val="21"/>
          <w:szCs w:val="21"/>
        </w:rPr>
        <w:t xml:space="preserve">The Pending Clearances item carries a live count badge in the sidebar, so the size of the queue is visible from any screen in the portal.</w:t>
      </w:r>
    </w:p>
    <w:p>
      <w:pPr>
        <w:pStyle w:val="Heading1"/>
        <w:pBdr>
          <w:bottom w:val="single" w:color="B45309" w:sz="12" w:space="6"/>
        </w:pBdr>
        <w:spacing w:after="160" w:before="360"/>
      </w:pPr>
      <w:r>
        <w:rPr>
          <w:rFonts w:ascii="Georgia" w:cs="Georgia" w:eastAsia="Georgia" w:hAnsi="Georgia"/>
          <w:b/>
          <w:bCs/>
          <w:color w:val="13294B"/>
          <w:sz w:val="30"/>
          <w:szCs w:val="30"/>
        </w:rPr>
        <w:t xml:space="preserve">4. Dashboard — Register Console</w:t>
      </w:r>
    </w:p>
    <w:p>
      <w:pPr>
        <w:spacing w:after="120" w:line="276"/>
      </w:pPr>
      <w:r>
        <w:rPr>
          <w:color w:val="1F2937"/>
          <w:sz w:val="21"/>
          <w:szCs w:val="21"/>
        </w:rPr>
        <w:t xml:space="preserve">The dashboard is the officer’s operational overview. It loads register statistics, the full clearance list and the audit log in parallel on entry.</w:t>
      </w:r>
    </w:p>
    <w:p>
      <w:pPr>
        <w:pStyle w:val="Heading2"/>
        <w:spacing w:after="120" w:before="280"/>
      </w:pPr>
      <w:r>
        <w:rPr>
          <w:rFonts w:ascii="Georgia" w:cs="Georgia" w:eastAsia="Georgia" w:hAnsi="Georgia"/>
          <w:b/>
          <w:bCs/>
          <w:color w:val="1E3A8A"/>
          <w:sz w:val="24"/>
          <w:szCs w:val="24"/>
        </w:rPr>
        <w:t xml:space="preserve">Headline metrics</w:t>
      </w:r>
    </w:p>
    <w:p>
      <w:pPr>
        <w:pStyle w:val="ListParagraph"/>
        <w:numPr>
          <w:ilvl w:val="0"/>
          <w:numId w:val="2"/>
        </w:numPr>
        <w:spacing w:after="80" w:line="276"/>
      </w:pPr>
      <w:r>
        <w:rPr>
          <w:b/>
          <w:bCs/>
          <w:color w:val="111827"/>
          <w:sz w:val="21"/>
          <w:szCs w:val="21"/>
        </w:rPr>
        <w:t xml:space="preserve">Offenders on register </w:t>
      </w:r>
      <w:r>
        <w:rPr>
          <w:color w:val="1F2937"/>
          <w:sz w:val="21"/>
          <w:szCs w:val="21"/>
        </w:rPr>
        <w:t xml:space="preserve">— the total record count, split by a proportional bar into convictions and under-trial entries, with a direct link into the registry.</w:t>
      </w:r>
    </w:p>
    <w:p>
      <w:pPr>
        <w:pStyle w:val="ListParagraph"/>
        <w:numPr>
          <w:ilvl w:val="0"/>
          <w:numId w:val="2"/>
        </w:numPr>
        <w:spacing w:after="80" w:line="276"/>
      </w:pPr>
      <w:r>
        <w:rPr>
          <w:b/>
          <w:bCs/>
          <w:color w:val="111827"/>
          <w:sz w:val="21"/>
          <w:szCs w:val="21"/>
        </w:rPr>
        <w:t xml:space="preserve">Pending Clearances </w:t>
      </w:r>
      <w:r>
        <w:rPr>
          <w:color w:val="1F2937"/>
          <w:sz w:val="21"/>
          <w:szCs w:val="21"/>
        </w:rPr>
        <w:t xml:space="preserve">— requests awaiting an officer decision, linking to the queue.</w:t>
      </w:r>
    </w:p>
    <w:p>
      <w:pPr>
        <w:pStyle w:val="ListParagraph"/>
        <w:numPr>
          <w:ilvl w:val="0"/>
          <w:numId w:val="2"/>
        </w:numPr>
        <w:spacing w:after="80" w:line="276"/>
      </w:pPr>
      <w:r>
        <w:rPr>
          <w:b/>
          <w:bCs/>
          <w:color w:val="111827"/>
          <w:sz w:val="21"/>
          <w:szCs w:val="21"/>
        </w:rPr>
        <w:t xml:space="preserve">Audit Events </w:t>
      </w:r>
      <w:r>
        <w:rPr>
          <w:color w:val="1F2937"/>
          <w:sz w:val="21"/>
          <w:szCs w:val="21"/>
        </w:rPr>
        <w:t xml:space="preserve">— recent system log entries, linking to the full audit log.</w:t>
      </w:r>
    </w:p>
    <w:p>
      <w:pPr>
        <w:pStyle w:val="Heading2"/>
        <w:spacing w:after="120" w:before="280"/>
      </w:pPr>
      <w:r>
        <w:rPr>
          <w:rFonts w:ascii="Georgia" w:cs="Georgia" w:eastAsia="Georgia" w:hAnsi="Georgia"/>
          <w:b/>
          <w:bCs/>
          <w:color w:val="1E3A8A"/>
          <w:sz w:val="24"/>
          <w:szCs w:val="24"/>
        </w:rPr>
        <w:t xml:space="preserve">Jurisdiction map</w:t>
      </w:r>
    </w:p>
    <w:p>
      <w:pPr>
        <w:spacing w:after="120" w:line="276"/>
      </w:pPr>
      <w:r>
        <w:rPr>
          <w:color w:val="1F2937"/>
          <w:sz w:val="21"/>
          <w:szCs w:val="21"/>
        </w:rPr>
        <w:t xml:space="preserve">An interactive Telangana map covers all 33 districts and drills down to mandal level. Selecting a district or mandal applies a jurisdiction filter, and an information banner confirms which jurisdiction is active. Selecting the state level clears the filter.</w:t>
      </w:r>
    </w:p>
    <w:p>
      <w:pPr>
        <w:spacing w:after="120" w:line="276"/>
      </w:pPr>
      <w:r>
        <w:rPr>
          <w:color w:val="1F2937"/>
          <w:sz w:val="21"/>
          <w:szCs w:val="21"/>
        </w:rPr>
        <w:t xml:space="preserve">The map panel also carries a second view for e-Prisons data, allowing an officer to:</w:t>
      </w:r>
    </w:p>
    <w:p>
      <w:pPr>
        <w:pStyle w:val="ListParagraph"/>
        <w:numPr>
          <w:ilvl w:val="0"/>
          <w:numId w:val="2"/>
        </w:numPr>
        <w:spacing w:after="80" w:line="276"/>
      </w:pPr>
      <w:r>
        <w:rPr>
          <w:color w:val="1F2937"/>
          <w:sz w:val="21"/>
          <w:szCs w:val="21"/>
        </w:rPr>
        <w:t xml:space="preserve">Select a specific jail or facility code, or query all Telangana facilities</w:t>
      </w:r>
    </w:p>
    <w:p>
      <w:pPr>
        <w:pStyle w:val="ListParagraph"/>
        <w:numPr>
          <w:ilvl w:val="0"/>
          <w:numId w:val="2"/>
        </w:numPr>
        <w:spacing w:after="80" w:line="276"/>
      </w:pPr>
      <w:r>
        <w:rPr>
          <w:color w:val="1F2937"/>
          <w:sz w:val="21"/>
          <w:szCs w:val="21"/>
        </w:rPr>
        <w:t xml:space="preserve">Set a from-date and to-date to search prisoner releases within a range</w:t>
      </w:r>
    </w:p>
    <w:p>
      <w:pPr>
        <w:pStyle w:val="ListParagraph"/>
        <w:numPr>
          <w:ilvl w:val="0"/>
          <w:numId w:val="2"/>
        </w:numPr>
        <w:spacing w:after="80" w:line="276"/>
      </w:pPr>
      <w:r>
        <w:rPr>
          <w:color w:val="1F2937"/>
          <w:sz w:val="21"/>
          <w:szCs w:val="21"/>
        </w:rPr>
        <w:t xml:space="preserve">Reset the range to the current day with a single control</w:t>
      </w:r>
    </w:p>
    <w:p>
      <w:pPr>
        <w:pStyle w:val="Heading2"/>
        <w:spacing w:after="120" w:before="280"/>
      </w:pPr>
      <w:r>
        <w:rPr>
          <w:rFonts w:ascii="Georgia" w:cs="Georgia" w:eastAsia="Georgia" w:hAnsi="Georgia"/>
          <w:b/>
          <w:bCs/>
          <w:color w:val="1E3A8A"/>
          <w:sz w:val="24"/>
          <w:szCs w:val="24"/>
        </w:rPr>
        <w:t xml:space="preserve">Analytics</w:t>
      </w:r>
    </w:p>
    <w:p>
      <w:pPr>
        <w:pStyle w:val="ListParagraph"/>
        <w:numPr>
          <w:ilvl w:val="0"/>
          <w:numId w:val="2"/>
        </w:numPr>
        <w:spacing w:after="80" w:line="276"/>
      </w:pPr>
      <w:r>
        <w:rPr>
          <w:b/>
          <w:bCs/>
          <w:color w:val="111827"/>
          <w:sz w:val="21"/>
          <w:szCs w:val="21"/>
        </w:rPr>
        <w:t xml:space="preserve">Register by Risk Tier </w:t>
      </w:r>
      <w:r>
        <w:rPr>
          <w:color w:val="1F2937"/>
          <w:sz w:val="21"/>
          <w:szCs w:val="21"/>
        </w:rPr>
        <w:t xml:space="preserve">— a bar chart of record counts across all statutory risk tiers, each bar rendered in its tier colour.</w:t>
      </w:r>
    </w:p>
    <w:p>
      <w:pPr>
        <w:pStyle w:val="ListParagraph"/>
        <w:numPr>
          <w:ilvl w:val="0"/>
          <w:numId w:val="2"/>
        </w:numPr>
        <w:spacing w:after="80" w:line="276"/>
      </w:pPr>
      <w:r>
        <w:rPr>
          <w:b/>
          <w:bCs/>
          <w:color w:val="111827"/>
          <w:sz w:val="21"/>
          <w:szCs w:val="21"/>
        </w:rPr>
        <w:t xml:space="preserve">Offence Category Distribution </w:t>
      </w:r>
      <w:r>
        <w:rPr>
          <w:color w:val="1F2937"/>
          <w:sz w:val="21"/>
          <w:szCs w:val="21"/>
        </w:rPr>
        <w:t xml:space="preserve">— a donut chart segmenting the register by statutory category: bodily offence, crime against children, crime against SC/ST, crime against women, cyber crime and other.</w:t>
      </w:r>
    </w:p>
    <w:p>
      <w:pPr>
        <w:pStyle w:val="Heading2"/>
        <w:spacing w:after="120" w:before="280"/>
      </w:pPr>
      <w:r>
        <w:rPr>
          <w:rFonts w:ascii="Georgia" w:cs="Georgia" w:eastAsia="Georgia" w:hAnsi="Georgia"/>
          <w:b/>
          <w:bCs/>
          <w:color w:val="1E3A8A"/>
          <w:sz w:val="24"/>
          <w:szCs w:val="24"/>
        </w:rPr>
        <w:t xml:space="preserve">Live panels</w:t>
      </w:r>
    </w:p>
    <w:p>
      <w:pPr>
        <w:pStyle w:val="ListParagraph"/>
        <w:numPr>
          <w:ilvl w:val="0"/>
          <w:numId w:val="2"/>
        </w:numPr>
        <w:spacing w:after="80" w:line="276"/>
      </w:pPr>
      <w:r>
        <w:rPr>
          <w:b/>
          <w:bCs/>
          <w:color w:val="111827"/>
          <w:sz w:val="21"/>
          <w:szCs w:val="21"/>
        </w:rPr>
        <w:t xml:space="preserve">Clearance Queue </w:t>
      </w:r>
      <w:r>
        <w:rPr>
          <w:color w:val="1F2937"/>
          <w:sz w:val="21"/>
          <w:szCs w:val="21"/>
        </w:rPr>
        <w:t xml:space="preserve">— up to ten pending or in-progress requests, each showing the submitting organization, reference, candidate and role. Selecting an entry opens the vetting screen directly.</w:t>
      </w:r>
    </w:p>
    <w:p>
      <w:pPr>
        <w:pStyle w:val="ListParagraph"/>
        <w:numPr>
          <w:ilvl w:val="0"/>
          <w:numId w:val="2"/>
        </w:numPr>
        <w:spacing w:after="80" w:line="276"/>
      </w:pPr>
      <w:r>
        <w:rPr>
          <w:b/>
          <w:bCs/>
          <w:color w:val="111827"/>
          <w:sz w:val="21"/>
          <w:szCs w:val="21"/>
        </w:rPr>
        <w:t xml:space="preserve">System Audit Log </w:t>
      </w:r>
      <w:r>
        <w:rPr>
          <w:color w:val="1F2937"/>
          <w:sz w:val="21"/>
          <w:szCs w:val="21"/>
        </w:rPr>
        <w:t xml:space="preserve">— the eight most recent events showing officer, action, time and access node, with a link to the full ledger.</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5. Registry Database</w:t>
      </w:r>
    </w:p>
    <w:p>
      <w:pPr>
        <w:spacing w:after="120" w:line="276"/>
      </w:pPr>
      <w:r>
        <w:rPr>
          <w:color w:val="1F2937"/>
          <w:sz w:val="21"/>
          <w:szCs w:val="21"/>
        </w:rPr>
        <w:t xml:space="preserve">The Registry Database is the officer’s search interface over conviction records. A standing banner reminds the officer that disclosable entries are conviction-based only and that accused persons are never held in this register.</w:t>
      </w:r>
    </w:p>
    <w:p>
      <w:pPr>
        <w:pStyle w:val="Heading2"/>
        <w:spacing w:after="120" w:before="280"/>
      </w:pPr>
      <w:r>
        <w:rPr>
          <w:rFonts w:ascii="Georgia" w:cs="Georgia" w:eastAsia="Georgia" w:hAnsi="Georgia"/>
          <w:b/>
          <w:bCs/>
          <w:color w:val="1E3A8A"/>
          <w:sz w:val="24"/>
          <w:szCs w:val="24"/>
        </w:rPr>
        <w:t xml:space="preserve">Searching</w:t>
      </w:r>
    </w:p>
    <w:p>
      <w:pPr>
        <w:pStyle w:val="ListParagraph"/>
        <w:numPr>
          <w:ilvl w:val="0"/>
          <w:numId w:val="2"/>
        </w:numPr>
        <w:spacing w:after="80" w:line="276"/>
      </w:pPr>
      <w:r>
        <w:rPr>
          <w:color w:val="1F2937"/>
          <w:sz w:val="21"/>
          <w:szCs w:val="21"/>
        </w:rPr>
        <w:t xml:space="preserve">The search field accepts an offender name, area or record ID. Pressing Enter or selecting Search runs the query.</w:t>
      </w:r>
    </w:p>
    <w:p>
      <w:pPr>
        <w:pStyle w:val="ListParagraph"/>
        <w:numPr>
          <w:ilvl w:val="0"/>
          <w:numId w:val="2"/>
        </w:numPr>
        <w:spacing w:after="80" w:line="276"/>
      </w:pPr>
      <w:r>
        <w:rPr>
          <w:b/>
          <w:bCs/>
          <w:color w:val="111827"/>
          <w:sz w:val="21"/>
          <w:szCs w:val="21"/>
        </w:rPr>
        <w:t xml:space="preserve">Filters </w:t>
      </w:r>
      <w:r>
        <w:rPr>
          <w:color w:val="1F2937"/>
          <w:sz w:val="21"/>
          <w:szCs w:val="21"/>
        </w:rPr>
        <w:t xml:space="preserve">open a risk-tier panel where any combination of tiers can be selected. The Filters button shows a count of active tier selections, and a Clear Selection control resets them.</w:t>
      </w:r>
    </w:p>
    <w:p>
      <w:pPr>
        <w:pStyle w:val="ListParagraph"/>
        <w:numPr>
          <w:ilvl w:val="0"/>
          <w:numId w:val="2"/>
        </w:numPr>
        <w:spacing w:after="80" w:line="276"/>
      </w:pPr>
      <w:r>
        <w:rPr>
          <w:b/>
          <w:bCs/>
          <w:color w:val="111827"/>
          <w:sz w:val="21"/>
          <w:szCs w:val="21"/>
        </w:rPr>
        <w:t xml:space="preserve">Search is deliberately explicit. </w:t>
      </w:r>
      <w:r>
        <w:rPr>
          <w:color w:val="1F2937"/>
          <w:sz w:val="21"/>
          <w:szCs w:val="21"/>
        </w:rPr>
        <w:t xml:space="preserve">Typing in the box does not re-query the database — the query and tier selection are only applied when Search is pressed. This prevents partial identifiers being sent to the register on every keystroke.</w:t>
      </w:r>
    </w:p>
    <w:p>
      <w:pPr>
        <w:pStyle w:val="Heading2"/>
        <w:spacing w:after="120" w:before="280"/>
      </w:pPr>
      <w:r>
        <w:rPr>
          <w:rFonts w:ascii="Georgia" w:cs="Georgia" w:eastAsia="Georgia" w:hAnsi="Georgia"/>
          <w:b/>
          <w:bCs/>
          <w:color w:val="1E3A8A"/>
          <w:sz w:val="24"/>
          <w:szCs w:val="24"/>
        </w:rPr>
        <w:t xml:space="preserve">Results</w:t>
      </w:r>
    </w:p>
    <w:p>
      <w:pPr>
        <w:spacing w:after="120" w:line="276"/>
      </w:pPr>
      <w:r>
        <w:rPr>
          <w:color w:val="1F2937"/>
          <w:sz w:val="21"/>
          <w:szCs w:val="21"/>
        </w:rPr>
        <w:t xml:space="preserve">Results are returned as a paginated table with the following columns.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Column</w:t>
            </w:r>
          </w:p>
        </w:tc>
        <w:tc>
          <w:tcPr>
            <w:tcW w:type="dxa" w:w="6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Content</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Record ID</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The register identifier for the record</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Offender Profile</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Name held on the register</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Risk Tier</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Colour-coded tier chip</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Offence Classification</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The convicted offence, truncated with full text on hover</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Area</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Recorded area for the offender</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Status</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Record status indicator</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Action</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Open File — opens the full dossier</w:t>
            </w:r>
          </w:p>
        </w:tc>
      </w:tr>
    </w:tbl>
    <w:p>
      <w:pPr>
        <w:spacing w:after="200"/>
      </w:pPr>
    </w:p>
    <w:p>
      <w:pPr>
        <w:spacing w:after="120" w:line="276"/>
      </w:pPr>
      <w:r>
        <w:rPr>
          <w:color w:val="1F2937"/>
          <w:sz w:val="21"/>
          <w:szCs w:val="21"/>
        </w:rPr>
        <w:t xml:space="preserve">The footer shows the record range and total, allows the page size to be set to 10, 25 or 50 rows, and provides page navigation. Where a query returns nothing, the empty state offers a single control to clear all filters and start again.</w:t>
      </w:r>
    </w:p>
    <w:p>
      <w:pPr>
        <w:pStyle w:val="Heading1"/>
        <w:pBdr>
          <w:bottom w:val="single" w:color="B45309" w:sz="12" w:space="6"/>
        </w:pBdr>
        <w:spacing w:after="160" w:before="360"/>
      </w:pPr>
      <w:r>
        <w:rPr>
          <w:rFonts w:ascii="Georgia" w:cs="Georgia" w:eastAsia="Georgia" w:hAnsi="Georgia"/>
          <w:b/>
          <w:bCs/>
          <w:color w:val="13294B"/>
          <w:sz w:val="30"/>
          <w:szCs w:val="30"/>
        </w:rPr>
        <w:t xml:space="preserve">6. The Offender Dossier</w:t>
      </w:r>
    </w:p>
    <w:p>
      <w:pPr>
        <w:spacing w:after="120" w:line="276"/>
      </w:pPr>
      <w:r>
        <w:rPr>
          <w:color w:val="1F2937"/>
          <w:sz w:val="21"/>
          <w:szCs w:val="21"/>
        </w:rPr>
        <w:t xml:space="preserve">Opening a record from the registry loads the Offender Dossier. The header shows the offender name, record ID, any recorded alias, the highest risk tier chip and a database synchronisation indicator.</w:t>
      </w:r>
    </w:p>
    <w:p>
      <w:pPr>
        <w:spacing w:after="120" w:line="276"/>
      </w:pPr>
      <w:r>
        <w:rPr>
          <w:color w:val="1F2937"/>
          <w:sz w:val="21"/>
          <w:szCs w:val="21"/>
        </w:rPr>
        <w:t xml:space="preserve">The dossier is organised into five tabs.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Tab</w:t>
            </w:r>
          </w:p>
        </w:tc>
        <w:tc>
          <w:tcPr>
            <w:tcW w:type="dxa" w:w="6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Contents</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Person Details</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Complete demographic record for the individual</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Physical Features</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Latest recorded physical characteristics</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Fingerprint Bureau</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Fingerprint bureau records held against the individual</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Legal History</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Crimes, arrests and chargesheets</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Intel &amp; Interrogation</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Interrogation reports, modus operandi, family history, local contacts and regular habits</w:t>
            </w:r>
          </w:p>
        </w:tc>
      </w:tr>
    </w:tbl>
    <w:p>
      <w:pPr>
        <w:spacing w:after="200"/>
      </w:pPr>
    </w:p>
    <w:p>
      <w:pPr>
        <w:spacing w:after="120" w:line="276"/>
      </w:pPr>
      <w:r>
        <w:rPr>
          <w:color w:val="1F2937"/>
          <w:sz w:val="21"/>
          <w:szCs w:val="21"/>
        </w:rPr>
        <w:t xml:space="preserve">Each section renders whatever fields are present in the record and reports clearly where a table holds no entries, so an officer can distinguish an empty section from a section that failed to load. Record counts are shown against each sub-table.</w:t>
      </w:r>
    </w:p>
    <w:p>
      <w:pPr>
        <w:pStyle w:val="Heading1"/>
        <w:pBdr>
          <w:bottom w:val="single" w:color="B45309" w:sz="12" w:space="6"/>
        </w:pBdr>
        <w:spacing w:after="160" w:before="360"/>
      </w:pPr>
      <w:r>
        <w:rPr>
          <w:rFonts w:ascii="Georgia" w:cs="Georgia" w:eastAsia="Georgia" w:hAnsi="Georgia"/>
          <w:b/>
          <w:bCs/>
          <w:color w:val="13294B"/>
          <w:sz w:val="30"/>
          <w:szCs w:val="30"/>
        </w:rPr>
        <w:t xml:space="preserve">7. Risk Tier Classification</w:t>
      </w:r>
    </w:p>
    <w:p>
      <w:pPr>
        <w:spacing w:after="120" w:line="276"/>
      </w:pPr>
      <w:r>
        <w:rPr>
          <w:color w:val="1F2937"/>
          <w:sz w:val="21"/>
          <w:szCs w:val="21"/>
        </w:rPr>
        <w:t xml:space="preserve">The Risk Tier Guide is the shared reference for the colour-coded grading applied to register records. Officers use it to interpret tier chips seen in the registry, in dossiers and on match cards during vetting.</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200"/>
        <w:gridCol w:w="2500"/>
        <w:gridCol w:w="3626"/>
        <w:gridCol w:w="1700"/>
      </w:tblGrid>
      <w:tr>
        <w:trPr>
          <w:tblHeader/>
        </w:trPr>
        <w:tc>
          <w:tcPr>
            <w:tcW w:type="dxa" w:w="12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Tier</w:t>
            </w:r>
          </w:p>
        </w:tc>
        <w:tc>
          <w:tcPr>
            <w:tcW w:type="dxa" w:w="25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Category</w:t>
            </w:r>
          </w:p>
        </w:tc>
        <w:tc>
          <w:tcPr>
            <w:tcW w:type="dxa" w:w="36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Governing sections</w:t>
            </w:r>
          </w:p>
        </w:tc>
        <w:tc>
          <w:tcPr>
            <w:tcW w:type="dxa" w:w="17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Retention</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Red</w:t>
            </w:r>
          </w:p>
        </w:tc>
        <w:tc>
          <w:tcPr>
            <w:tcW w:type="dxa" w:w="2500"/>
            <w:tcMar>
              <w:top w:type="dxa" w:w="90"/>
              <w:left w:type="dxa" w:w="130"/>
              <w:bottom w:type="dxa" w:w="90"/>
              <w:right w:type="dxa" w:w="130"/>
            </w:tcMar>
            <w:vAlign w:val="center"/>
          </w:tcPr>
          <w:p>
            <w:pPr>
              <w:spacing w:after="0" w:line="260"/>
            </w:pPr>
            <w:r>
              <w:rPr>
                <w:color w:val="1F2937"/>
                <w:sz w:val="20"/>
                <w:szCs w:val="20"/>
              </w:rPr>
              <w:t xml:space="preserve">Dangerous predator / gang</w:t>
            </w:r>
          </w:p>
        </w:tc>
        <w:tc>
          <w:tcPr>
            <w:tcW w:type="dxa" w:w="3626"/>
            <w:tcMar>
              <w:top w:type="dxa" w:w="90"/>
              <w:left w:type="dxa" w:w="130"/>
              <w:bottom w:type="dxa" w:w="90"/>
              <w:right w:type="dxa" w:w="130"/>
            </w:tcMar>
            <w:vAlign w:val="center"/>
          </w:tcPr>
          <w:p>
            <w:pPr>
              <w:spacing w:after="0" w:line="260"/>
            </w:pPr>
            <w:r>
              <w:rPr>
                <w:color w:val="1F2937"/>
                <w:sz w:val="20"/>
                <w:szCs w:val="20"/>
              </w:rPr>
              <w:t xml:space="preserve">BNS 63–66, BNS 70, POCSO 5–6</w:t>
            </w:r>
          </w:p>
        </w:tc>
        <w:tc>
          <w:tcPr>
            <w:tcW w:type="dxa" w:w="1700"/>
            <w:tcMar>
              <w:top w:type="dxa" w:w="90"/>
              <w:left w:type="dxa" w:w="130"/>
              <w:bottom w:type="dxa" w:w="90"/>
              <w:right w:type="dxa" w:w="130"/>
            </w:tcMar>
            <w:vAlign w:val="center"/>
          </w:tcPr>
          <w:p>
            <w:pPr>
              <w:spacing w:after="0" w:line="260"/>
            </w:pPr>
            <w:r>
              <w:rPr>
                <w:color w:val="1F2937"/>
                <w:sz w:val="20"/>
                <w:szCs w:val="20"/>
              </w:rPr>
              <w:t xml:space="preserve">Lifetime</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Orange</w:t>
            </w:r>
          </w:p>
        </w:tc>
        <w:tc>
          <w:tcPr>
            <w:tcW w:type="dxa" w:w="2500"/>
            <w:shd w:fill="F1F5F9" w:color="auto" w:val="clear"/>
            <w:tcMar>
              <w:top w:type="dxa" w:w="90"/>
              <w:left w:type="dxa" w:w="130"/>
              <w:bottom w:type="dxa" w:w="90"/>
              <w:right w:type="dxa" w:w="130"/>
            </w:tcMar>
            <w:vAlign w:val="center"/>
          </w:tcPr>
          <w:p>
            <w:pPr>
              <w:spacing w:after="0" w:line="260"/>
            </w:pPr>
            <w:r>
              <w:rPr>
                <w:color w:val="1F2937"/>
                <w:sz w:val="20"/>
                <w:szCs w:val="20"/>
              </w:rPr>
              <w:t xml:space="preserve">Repeat or habitual offender</w:t>
            </w:r>
          </w:p>
        </w:tc>
        <w:tc>
          <w:tcPr>
            <w:tcW w:type="dxa" w:w="3626"/>
            <w:shd w:fill="F1F5F9" w:color="auto" w:val="clear"/>
            <w:tcMar>
              <w:top w:type="dxa" w:w="90"/>
              <w:left w:type="dxa" w:w="130"/>
              <w:bottom w:type="dxa" w:w="90"/>
              <w:right w:type="dxa" w:w="130"/>
            </w:tcMar>
            <w:vAlign w:val="center"/>
          </w:tcPr>
          <w:p>
            <w:pPr>
              <w:spacing w:after="0" w:line="260"/>
            </w:pPr>
            <w:r>
              <w:rPr>
                <w:color w:val="1F2937"/>
                <w:sz w:val="20"/>
                <w:szCs w:val="20"/>
              </w:rPr>
              <w:t xml:space="preserve">BNS 71 + base section</w:t>
            </w:r>
          </w:p>
        </w:tc>
        <w:tc>
          <w:tcPr>
            <w:tcW w:type="dxa" w:w="1700"/>
            <w:shd w:fill="F1F5F9" w:color="auto" w:val="clear"/>
            <w:tcMar>
              <w:top w:type="dxa" w:w="90"/>
              <w:left w:type="dxa" w:w="130"/>
              <w:bottom w:type="dxa" w:w="90"/>
              <w:right w:type="dxa" w:w="130"/>
            </w:tcMar>
            <w:vAlign w:val="center"/>
          </w:tcPr>
          <w:p>
            <w:pPr>
              <w:spacing w:after="0" w:line="260"/>
            </w:pPr>
            <w:r>
              <w:rPr>
                <w:color w:val="1F2937"/>
                <w:sz w:val="20"/>
                <w:szCs w:val="20"/>
              </w:rPr>
              <w:t xml:space="preserve">25 years</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Blue</w:t>
            </w:r>
          </w:p>
        </w:tc>
        <w:tc>
          <w:tcPr>
            <w:tcW w:type="dxa" w:w="2500"/>
            <w:tcMar>
              <w:top w:type="dxa" w:w="90"/>
              <w:left w:type="dxa" w:w="130"/>
              <w:bottom w:type="dxa" w:w="90"/>
              <w:right w:type="dxa" w:w="130"/>
            </w:tcMar>
            <w:vAlign w:val="center"/>
          </w:tcPr>
          <w:p>
            <w:pPr>
              <w:spacing w:after="0" w:line="260"/>
            </w:pPr>
            <w:r>
              <w:rPr>
                <w:color w:val="1F2937"/>
                <w:sz w:val="20"/>
                <w:szCs w:val="20"/>
              </w:rPr>
              <w:t xml:space="preserve">Cyber sexual offender</w:t>
            </w:r>
          </w:p>
        </w:tc>
        <w:tc>
          <w:tcPr>
            <w:tcW w:type="dxa" w:w="3626"/>
            <w:tcMar>
              <w:top w:type="dxa" w:w="90"/>
              <w:left w:type="dxa" w:w="130"/>
              <w:bottom w:type="dxa" w:w="90"/>
              <w:right w:type="dxa" w:w="130"/>
            </w:tcMar>
            <w:vAlign w:val="center"/>
          </w:tcPr>
          <w:p>
            <w:pPr>
              <w:spacing w:after="0" w:line="260"/>
            </w:pPr>
            <w:r>
              <w:rPr>
                <w:color w:val="1F2937"/>
                <w:sz w:val="20"/>
                <w:szCs w:val="20"/>
              </w:rPr>
              <w:t xml:space="preserve">IT Act 67A/67B, BNS 77–78, POCSO 11–14</w:t>
            </w:r>
          </w:p>
        </w:tc>
        <w:tc>
          <w:tcPr>
            <w:tcW w:type="dxa" w:w="1700"/>
            <w:tcMar>
              <w:top w:type="dxa" w:w="90"/>
              <w:left w:type="dxa" w:w="130"/>
              <w:bottom w:type="dxa" w:w="90"/>
              <w:right w:type="dxa" w:w="130"/>
            </w:tcMar>
            <w:vAlign w:val="center"/>
          </w:tcPr>
          <w:p>
            <w:pPr>
              <w:spacing w:after="0" w:line="260"/>
            </w:pPr>
            <w:r>
              <w:rPr>
                <w:color w:val="1F2937"/>
                <w:sz w:val="20"/>
                <w:szCs w:val="20"/>
              </w:rPr>
              <w:t xml:space="preserve">25 years</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Black</w:t>
            </w:r>
          </w:p>
        </w:tc>
        <w:tc>
          <w:tcPr>
            <w:tcW w:type="dxa" w:w="2500"/>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Organised crime / trafficking</w:t>
            </w:r>
          </w:p>
        </w:tc>
        <w:tc>
          <w:tcPr>
            <w:tcW w:type="dxa" w:w="3626"/>
            <w:shd w:fill="F1F5F9" w:color="auto" w:val="clear"/>
            <w:tcMar>
              <w:top w:type="dxa" w:w="90"/>
              <w:left w:type="dxa" w:w="130"/>
              <w:bottom w:type="dxa" w:w="90"/>
              <w:right w:type="dxa" w:w="130"/>
            </w:tcMar>
            <w:vAlign w:val="center"/>
          </w:tcPr>
          <w:p>
            <w:pPr>
              <w:spacing w:after="0" w:line="260"/>
            </w:pPr>
            <w:r>
              <w:rPr>
                <w:color w:val="1F2937"/>
                <w:sz w:val="20"/>
                <w:szCs w:val="20"/>
              </w:rPr>
              <w:t xml:space="preserve">BNS 143–144, BNS 111, ITPA 3–7</w:t>
            </w:r>
          </w:p>
        </w:tc>
        <w:tc>
          <w:tcPr>
            <w:tcW w:type="dxa" w:w="1700"/>
            <w:shd w:fill="F1F5F9" w:color="auto" w:val="clear"/>
            <w:tcMar>
              <w:top w:type="dxa" w:w="90"/>
              <w:left w:type="dxa" w:w="130"/>
              <w:bottom w:type="dxa" w:w="90"/>
              <w:right w:type="dxa" w:w="130"/>
            </w:tcMar>
            <w:vAlign w:val="center"/>
          </w:tcPr>
          <w:p>
            <w:pPr>
              <w:spacing w:after="0" w:line="260"/>
            </w:pPr>
            <w:r>
              <w:rPr>
                <w:color w:val="1F2937"/>
                <w:sz w:val="20"/>
                <w:szCs w:val="20"/>
              </w:rPr>
              <w:t xml:space="preserve">Lifetime</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Silver</w:t>
            </w:r>
          </w:p>
        </w:tc>
        <w:tc>
          <w:tcPr>
            <w:tcW w:type="dxa" w:w="2500"/>
            <w:tcMar>
              <w:top w:type="dxa" w:w="90"/>
              <w:left w:type="dxa" w:w="130"/>
              <w:bottom w:type="dxa" w:w="90"/>
              <w:right w:type="dxa" w:w="130"/>
            </w:tcMar>
            <w:vAlign w:val="center"/>
          </w:tcPr>
          <w:p>
            <w:pPr>
              <w:spacing w:after="0" w:line="260"/>
            </w:pPr>
            <w:r>
              <w:rPr>
                <w:color w:val="1F2937"/>
                <w:sz w:val="20"/>
                <w:szCs w:val="20"/>
              </w:rPr>
              <w:t xml:space="preserve">Juvenile — internal only</w:t>
            </w:r>
          </w:p>
        </w:tc>
        <w:tc>
          <w:tcPr>
            <w:tcW w:type="dxa" w:w="3626"/>
            <w:tcMar>
              <w:top w:type="dxa" w:w="90"/>
              <w:left w:type="dxa" w:w="130"/>
              <w:bottom w:type="dxa" w:w="90"/>
              <w:right w:type="dxa" w:w="130"/>
            </w:tcMar>
            <w:vAlign w:val="center"/>
          </w:tcPr>
          <w:p>
            <w:pPr>
              <w:spacing w:after="0" w:line="260"/>
            </w:pPr>
            <w:r>
              <w:rPr>
                <w:color w:val="1F2937"/>
                <w:sz w:val="20"/>
                <w:szCs w:val="20"/>
              </w:rPr>
              <w:t xml:space="preserve">JJ Act 2015</w:t>
            </w:r>
          </w:p>
        </w:tc>
        <w:tc>
          <w:tcPr>
            <w:tcW w:type="dxa" w:w="1700"/>
            <w:tcMar>
              <w:top w:type="dxa" w:w="90"/>
              <w:left w:type="dxa" w:w="130"/>
              <w:bottom w:type="dxa" w:w="90"/>
              <w:right w:type="dxa" w:w="130"/>
            </w:tcMar>
            <w:vAlign w:val="center"/>
          </w:tcPr>
          <w:p>
            <w:pPr>
              <w:spacing w:after="0" w:line="260"/>
            </w:pPr>
            <w:r>
              <w:rPr>
                <w:color w:val="1F2937"/>
                <w:sz w:val="20"/>
                <w:szCs w:val="20"/>
              </w:rPr>
              <w:t xml:space="preserve">Sealed</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Pink</w:t>
            </w:r>
          </w:p>
        </w:tc>
        <w:tc>
          <w:tcPr>
            <w:tcW w:type="dxa" w:w="2500"/>
            <w:shd w:fill="F1F5F9" w:color="auto" w:val="clear"/>
            <w:tcMar>
              <w:top w:type="dxa" w:w="90"/>
              <w:left w:type="dxa" w:w="130"/>
              <w:bottom w:type="dxa" w:w="90"/>
              <w:right w:type="dxa" w:w="130"/>
            </w:tcMar>
            <w:vAlign w:val="center"/>
          </w:tcPr>
          <w:p>
            <w:pPr>
              <w:spacing w:after="0" w:line="260"/>
            </w:pPr>
            <w:r>
              <w:rPr>
                <w:color w:val="1F2937"/>
                <w:sz w:val="20"/>
                <w:szCs w:val="20"/>
              </w:rPr>
              <w:t xml:space="preserve">Harassment / non-contact</w:t>
            </w:r>
          </w:p>
        </w:tc>
        <w:tc>
          <w:tcPr>
            <w:tcW w:type="dxa" w:w="3626"/>
            <w:shd w:fill="F1F5F9" w:color="auto" w:val="clear"/>
            <w:tcMar>
              <w:top w:type="dxa" w:w="90"/>
              <w:left w:type="dxa" w:w="130"/>
              <w:bottom w:type="dxa" w:w="90"/>
              <w:right w:type="dxa" w:w="130"/>
            </w:tcMar>
            <w:vAlign w:val="center"/>
          </w:tcPr>
          <w:p>
            <w:pPr>
              <w:spacing w:after="0" w:line="260"/>
            </w:pPr>
            <w:r>
              <w:rPr>
                <w:color w:val="1F2937"/>
                <w:sz w:val="20"/>
                <w:szCs w:val="20"/>
              </w:rPr>
              <w:t xml:space="preserve">BNS 74, 75, 78, 79</w:t>
            </w:r>
          </w:p>
        </w:tc>
        <w:tc>
          <w:tcPr>
            <w:tcW w:type="dxa" w:w="1700"/>
            <w:shd w:fill="F1F5F9" w:color="auto" w:val="clear"/>
            <w:tcMar>
              <w:top w:type="dxa" w:w="90"/>
              <w:left w:type="dxa" w:w="130"/>
              <w:bottom w:type="dxa" w:w="90"/>
              <w:right w:type="dxa" w:w="130"/>
            </w:tcMar>
            <w:vAlign w:val="center"/>
          </w:tcPr>
          <w:p>
            <w:pPr>
              <w:spacing w:after="0" w:line="260"/>
            </w:pPr>
            <w:r>
              <w:rPr>
                <w:color w:val="1F2937"/>
                <w:sz w:val="20"/>
                <w:szCs w:val="20"/>
              </w:rPr>
              <w:t xml:space="preserve">15 years</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Green</w:t>
            </w:r>
          </w:p>
        </w:tc>
        <w:tc>
          <w:tcPr>
            <w:tcW w:type="dxa" w:w="2500"/>
            <w:tcMar>
              <w:top w:type="dxa" w:w="90"/>
              <w:left w:type="dxa" w:w="130"/>
              <w:bottom w:type="dxa" w:w="90"/>
              <w:right w:type="dxa" w:w="130"/>
            </w:tcMar>
            <w:vAlign w:val="center"/>
          </w:tcPr>
          <w:p>
            <w:pPr>
              <w:spacing w:after="0" w:line="260"/>
            </w:pPr>
            <w:r>
              <w:rPr>
                <w:color w:val="1F2937"/>
                <w:sz w:val="20"/>
                <w:szCs w:val="20"/>
              </w:rPr>
              <w:t xml:space="preserve">Isolated, low severity</w:t>
            </w:r>
          </w:p>
        </w:tc>
        <w:tc>
          <w:tcPr>
            <w:tcW w:type="dxa" w:w="3626"/>
            <w:tcMar>
              <w:top w:type="dxa" w:w="90"/>
              <w:left w:type="dxa" w:w="130"/>
              <w:bottom w:type="dxa" w:w="90"/>
              <w:right w:type="dxa" w:w="130"/>
            </w:tcMar>
            <w:vAlign w:val="center"/>
          </w:tcPr>
          <w:p>
            <w:pPr>
              <w:spacing w:after="0" w:line="260"/>
            </w:pPr>
            <w:r>
              <w:rPr>
                <w:color w:val="1F2937"/>
                <w:sz w:val="20"/>
                <w:szCs w:val="20"/>
              </w:rPr>
              <w:t xml:space="preserve">BNS 74, BNS 75</w:t>
            </w:r>
          </w:p>
        </w:tc>
        <w:tc>
          <w:tcPr>
            <w:tcW w:type="dxa" w:w="1700"/>
            <w:tcMar>
              <w:top w:type="dxa" w:w="90"/>
              <w:left w:type="dxa" w:w="130"/>
              <w:bottom w:type="dxa" w:w="90"/>
              <w:right w:type="dxa" w:w="130"/>
            </w:tcMar>
            <w:vAlign w:val="center"/>
          </w:tcPr>
          <w:p>
            <w:pPr>
              <w:spacing w:after="0" w:line="260"/>
            </w:pPr>
            <w:r>
              <w:rPr>
                <w:color w:val="1F2937"/>
                <w:sz w:val="20"/>
                <w:szCs w:val="20"/>
              </w:rPr>
              <w:t xml:space="preserve">15 years</w:t>
            </w:r>
          </w:p>
        </w:tc>
      </w:tr>
    </w:tbl>
    <w:p>
      <w:pPr>
        <w:spacing w:after="200"/>
      </w:pPr>
    </w:p>
    <w:tbl>
      <w:tblPr>
        <w:tblW w:type="dxa" w:w="9026"/>
        <w:tblBorders>
          <w:top w:val="single" w:color="FCD34D" w:sz="4"/>
          <w:left w:val="single" w:color="B45309" w:sz="18"/>
          <w:bottom w:val="single" w:color="FCD34D" w:sz="4"/>
          <w:right w:val="single" w:color="FCD34D" w:sz="4"/>
          <w:insideH w:val="none"/>
          <w:insideV w:val="none"/>
        </w:tblBorders>
      </w:tblPr>
      <w:tblGrid>
        <w:gridCol w:w="9026"/>
      </w:tblGrid>
      <w:tr>
        <w:tc>
          <w:tcPr>
            <w:tcW w:type="dxa" w:w="9026"/>
            <w:shd w:fill="FFFBEB" w:color="auto" w:val="clear"/>
            <w:tcMar>
              <w:top w:type="dxa" w:w="140"/>
              <w:left w:type="dxa" w:w="180"/>
              <w:bottom w:type="dxa" w:w="140"/>
              <w:right w:type="dxa" w:w="180"/>
            </w:tcMar>
          </w:tcPr>
          <w:p>
            <w:pPr>
              <w:spacing w:after="60"/>
            </w:pPr>
            <w:r>
              <w:rPr>
                <w:b/>
                <w:bCs/>
                <w:color w:val="92400E"/>
                <w:sz w:val="20"/>
                <w:szCs w:val="20"/>
              </w:rPr>
              <w:t xml:space="preserve">Juvenile records are not disclosable</w:t>
            </w:r>
          </w:p>
          <w:p>
            <w:pPr>
              <w:spacing w:after="0" w:line="270"/>
            </w:pPr>
            <w:r>
              <w:rPr>
                <w:color w:val="451A03"/>
                <w:sz w:val="20"/>
                <w:szCs w:val="20"/>
              </w:rPr>
              <w:t xml:space="preserve">The Silver tier is handled under the Juvenile Justice Act 2015 and is placed in a non-disclosable list. The Risk Tier Guide deliberately omits it from the reference cards shown in the portal.</w:t>
            </w:r>
          </w:p>
        </w:tc>
      </w:tr>
    </w:tbl>
    <w:p>
      <w:pPr>
        <w:spacing w:after="120" w:line="276"/>
      </w:pPr>
      <w:r>
        <w:rPr>
          <w:color w:val="1F2937"/>
          <w:sz w:val="21"/>
          <w:szCs w:val="21"/>
        </w:rPr>
        <w:t xml:space="preserve">The guide also records that a “homosexual crimes” category does not exist in Indian law, and that sexual orientation is never used as a grading input.</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8. Core Workflow — Processing a Clearance Request</w:t>
      </w:r>
    </w:p>
    <w:p>
      <w:pPr>
        <w:spacing w:after="120" w:line="276"/>
      </w:pPr>
      <w:r>
        <w:rPr>
          <w:color w:val="1F2937"/>
          <w:sz w:val="21"/>
          <w:szCs w:val="21"/>
        </w:rPr>
        <w:t xml:space="preserve">This is the officer’s primary duty within the platform. Each request represents a named candidate an institution intends to place in a child-facing role.</w:t>
      </w:r>
    </w:p>
    <w:p>
      <w:pPr>
        <w:pStyle w:val="Heading2"/>
        <w:spacing w:after="120" w:before="280"/>
      </w:pPr>
      <w:r>
        <w:rPr>
          <w:rFonts w:ascii="Georgia" w:cs="Georgia" w:eastAsia="Georgia" w:hAnsi="Georgia"/>
          <w:b/>
          <w:bCs/>
          <w:color w:val="1E3A8A"/>
          <w:sz w:val="24"/>
          <w:szCs w:val="24"/>
        </w:rPr>
        <w:t xml:space="preserve">8.1 The queue</w:t>
      </w:r>
    </w:p>
    <w:p>
      <w:pPr>
        <w:spacing w:after="120" w:line="276"/>
      </w:pPr>
      <w:r>
        <w:rPr>
          <w:color w:val="1F2937"/>
          <w:sz w:val="21"/>
          <w:szCs w:val="21"/>
        </w:rPr>
        <w:t xml:space="preserve">Pending Clearances lists every request with a status of Pending or Verifying. The table shows the reference, submitting organization and candidate, organization type, requested role, submission date and status. A search box filters by organization, candidate or role.</w:t>
      </w:r>
    </w:p>
    <w:p>
      <w:pPr>
        <w:spacing w:after="120" w:line="276"/>
      </w:pPr>
      <w:r>
        <w:rPr>
          <w:color w:val="1F2937"/>
          <w:sz w:val="21"/>
          <w:szCs w:val="21"/>
        </w:rPr>
        <w:t xml:space="preserve">Selecting Process clearance opens the vetting screen for that request.</w:t>
      </w:r>
    </w:p>
    <w:p>
      <w:pPr>
        <w:pStyle w:val="Heading2"/>
        <w:spacing w:after="120" w:before="280"/>
      </w:pPr>
      <w:r>
        <w:rPr>
          <w:rFonts w:ascii="Georgia" w:cs="Georgia" w:eastAsia="Georgia" w:hAnsi="Georgia"/>
          <w:b/>
          <w:bCs/>
          <w:color w:val="1E3A8A"/>
          <w:sz w:val="24"/>
          <w:szCs w:val="24"/>
        </w:rPr>
        <w:t xml:space="preserve">8.2 Review the candidate vetting profile</w:t>
      </w:r>
    </w:p>
    <w:p>
      <w:pPr>
        <w:spacing w:after="120" w:line="276"/>
      </w:pPr>
      <w:r>
        <w:rPr>
          <w:color w:val="1F2937"/>
          <w:sz w:val="21"/>
          <w:szCs w:val="21"/>
        </w:rPr>
        <w:t xml:space="preserve">The vetting screen opens with everything the institution submitted:</w:t>
      </w:r>
    </w:p>
    <w:p>
      <w:pPr>
        <w:pStyle w:val="ListParagraph"/>
        <w:numPr>
          <w:ilvl w:val="0"/>
          <w:numId w:val="2"/>
        </w:numPr>
        <w:spacing w:after="80" w:line="276"/>
      </w:pPr>
      <w:r>
        <w:rPr>
          <w:color w:val="1F2937"/>
          <w:sz w:val="21"/>
          <w:szCs w:val="21"/>
        </w:rPr>
        <w:t xml:space="preserve">Candidate full name, date of birth, phone number and residential address</w:t>
      </w:r>
    </w:p>
    <w:p>
      <w:pPr>
        <w:pStyle w:val="ListParagraph"/>
        <w:numPr>
          <w:ilvl w:val="0"/>
          <w:numId w:val="2"/>
        </w:numPr>
        <w:spacing w:after="80" w:line="276"/>
      </w:pPr>
      <w:r>
        <w:rPr>
          <w:color w:val="1F2937"/>
          <w:sz w:val="21"/>
          <w:szCs w:val="21"/>
        </w:rPr>
        <w:t xml:space="preserve">Father’s name and Aadhaar number where provided</w:t>
      </w:r>
    </w:p>
    <w:p>
      <w:pPr>
        <w:pStyle w:val="ListParagraph"/>
        <w:numPr>
          <w:ilvl w:val="0"/>
          <w:numId w:val="2"/>
        </w:numPr>
        <w:spacing w:after="80" w:line="276"/>
      </w:pPr>
      <w:r>
        <w:rPr>
          <w:color w:val="1F2937"/>
          <w:sz w:val="21"/>
          <w:szCs w:val="21"/>
        </w:rPr>
        <w:t xml:space="preserve">Employer station, organization type and the requested role or seat</w:t>
      </w:r>
    </w:p>
    <w:p>
      <w:pPr>
        <w:pStyle w:val="ListParagraph"/>
        <w:numPr>
          <w:ilvl w:val="0"/>
          <w:numId w:val="2"/>
        </w:numPr>
        <w:spacing w:after="80" w:line="276"/>
      </w:pPr>
      <w:r>
        <w:rPr>
          <w:color w:val="1F2937"/>
          <w:sz w:val="21"/>
          <w:szCs w:val="21"/>
        </w:rPr>
        <w:t xml:space="preserve">Consent status — shown as Consent Authorized &amp; Verified or Not Provided</w:t>
      </w:r>
    </w:p>
    <w:p>
      <w:pPr>
        <w:pStyle w:val="ListParagraph"/>
        <w:numPr>
          <w:ilvl w:val="0"/>
          <w:numId w:val="2"/>
        </w:numPr>
        <w:spacing w:after="80" w:line="276"/>
      </w:pPr>
      <w:r>
        <w:rPr>
          <w:color w:val="1F2937"/>
          <w:sz w:val="21"/>
          <w:szCs w:val="21"/>
        </w:rPr>
        <w:t xml:space="preserve">Submission date and current status</w:t>
      </w:r>
    </w:p>
    <w:p>
      <w:pPr>
        <w:pStyle w:val="ListParagraph"/>
        <w:numPr>
          <w:ilvl w:val="0"/>
          <w:numId w:val="2"/>
        </w:numPr>
        <w:spacing w:after="80" w:line="276"/>
      </w:pPr>
      <w:r>
        <w:rPr>
          <w:b/>
          <w:bCs/>
          <w:color w:val="111827"/>
          <w:sz w:val="21"/>
          <w:szCs w:val="21"/>
        </w:rPr>
        <w:t xml:space="preserve">The uploaded candidate photograph </w:t>
      </w:r>
      <w:r>
        <w:rPr>
          <w:color w:val="1F2937"/>
          <w:sz w:val="21"/>
          <w:szCs w:val="21"/>
        </w:rPr>
        <w:t xml:space="preserve">and a View Signed Consent control for the signed consent declaration</w:t>
      </w:r>
    </w:p>
    <w:p>
      <w:pPr>
        <w:spacing w:after="120"/>
      </w:pPr>
    </w:p>
    <w:p>
      <w:pPr>
        <w:spacing w:after="120" w:line="276"/>
      </w:pPr>
      <w:r>
        <w:rPr>
          <w:color w:val="1F2937"/>
          <w:sz w:val="21"/>
          <w:szCs w:val="21"/>
        </w:rPr>
        <w:t xml:space="preserve">The consent document should be opened and checked before any scan is run. A request without valid consent should not be processed.</w:t>
      </w:r>
    </w:p>
    <w:p>
      <w:pPr>
        <w:pStyle w:val="Heading2"/>
        <w:spacing w:after="120" w:before="280"/>
      </w:pPr>
      <w:r>
        <w:rPr>
          <w:rFonts w:ascii="Georgia" w:cs="Georgia" w:eastAsia="Georgia" w:hAnsi="Georgia"/>
          <w:b/>
          <w:bCs/>
          <w:color w:val="1E3A8A"/>
          <w:sz w:val="24"/>
          <w:szCs w:val="24"/>
        </w:rPr>
        <w:t xml:space="preserve">8.3 Run the registry database scan</w:t>
      </w:r>
    </w:p>
    <w:p>
      <w:pPr>
        <w:spacing w:after="120" w:line="276"/>
      </w:pPr>
      <w:r>
        <w:rPr>
          <w:color w:val="1F2937"/>
          <w:sz w:val="21"/>
          <w:szCs w:val="21"/>
        </w:rPr>
        <w:t xml:space="preserve">Selecting Run Registry Database Scan begins the automated check. Two things happen:</w:t>
      </w:r>
    </w:p>
    <w:p>
      <w:pPr>
        <w:pStyle w:val="ListParagraph"/>
        <w:numPr>
          <w:ilvl w:val="0"/>
          <w:numId w:val="3"/>
        </w:numPr>
        <w:spacing w:after="80" w:line="276"/>
      </w:pPr>
      <w:r>
        <w:rPr>
          <w:color w:val="1F2937"/>
          <w:sz w:val="21"/>
          <w:szCs w:val="21"/>
        </w:rPr>
        <w:t xml:space="preserve">The request status is set to Verifying, which is immediately visible to the requesting institution on their tracking screen.</w:t>
      </w:r>
    </w:p>
    <w:p>
      <w:pPr>
        <w:pStyle w:val="ListParagraph"/>
        <w:numPr>
          <w:ilvl w:val="0"/>
          <w:numId w:val="3"/>
        </w:numPr>
        <w:spacing w:after="80" w:line="276"/>
      </w:pPr>
      <w:r>
        <w:rPr>
          <w:color w:val="1F2937"/>
          <w:sz w:val="21"/>
          <w:szCs w:val="21"/>
        </w:rPr>
        <w:t xml:space="preserve">The scan queries CCTNS accused records and ePetty case records against the candidate’s identity parameters, with a live progress log shown during the check.</w:t>
      </w:r>
    </w:p>
    <w:p>
      <w:pPr>
        <w:pStyle w:val="Heading2"/>
        <w:spacing w:after="120" w:before="280"/>
      </w:pPr>
      <w:r>
        <w:rPr>
          <w:rFonts w:ascii="Georgia" w:cs="Georgia" w:eastAsia="Georgia" w:hAnsi="Georgia"/>
          <w:b/>
          <w:bCs/>
          <w:color w:val="1E3A8A"/>
          <w:sz w:val="24"/>
          <w:szCs w:val="24"/>
        </w:rPr>
        <w:t xml:space="preserve">8.4 Review the matches</w:t>
      </w:r>
    </w:p>
    <w:p>
      <w:pPr>
        <w:spacing w:after="120" w:line="276"/>
      </w:pPr>
      <w:r>
        <w:rPr>
          <w:color w:val="1F2937"/>
          <w:sz w:val="21"/>
          <w:szCs w:val="21"/>
        </w:rPr>
        <w:t xml:space="preserve">If the scan returns nothing, a confirmation panel reports that the candidate has no police records, criminal files or disclosable history, and the request is ready for approval.</w:t>
      </w:r>
    </w:p>
    <w:p>
      <w:pPr>
        <w:spacing w:after="120" w:line="276"/>
      </w:pPr>
      <w:r>
        <w:rPr>
          <w:color w:val="1F2937"/>
          <w:sz w:val="21"/>
          <w:szCs w:val="21"/>
        </w:rPr>
        <w:t xml:space="preserve">If matches are returned, a warning panel requires the officer to manually inspect and cross-verify every record before deciding. Matches are organised as follows.</w:t>
      </w:r>
    </w:p>
    <w:p>
      <w:pPr>
        <w:pStyle w:val="Heading3"/>
        <w:spacing w:after="100" w:before="220"/>
      </w:pPr>
      <w:r>
        <w:rPr>
          <w:b/>
          <w:bCs/>
          <w:color w:val="475569"/>
          <w:sz w:val="21"/>
          <w:szCs w:val="21"/>
        </w:rPr>
        <w:t xml:space="preserve">Source tabs</w:t>
      </w:r>
    </w:p>
    <w:p>
      <w:pPr>
        <w:pStyle w:val="ListParagraph"/>
        <w:numPr>
          <w:ilvl w:val="0"/>
          <w:numId w:val="2"/>
        </w:numPr>
        <w:spacing w:after="80" w:line="276"/>
      </w:pPr>
      <w:r>
        <w:rPr>
          <w:b/>
          <w:bCs/>
          <w:color w:val="111827"/>
          <w:sz w:val="21"/>
          <w:szCs w:val="21"/>
        </w:rPr>
        <w:t xml:space="preserve">CCTNS </w:t>
      </w:r>
      <w:r>
        <w:rPr>
          <w:color w:val="1F2937"/>
          <w:sz w:val="21"/>
          <w:szCs w:val="21"/>
        </w:rPr>
        <w:t xml:space="preserve">— accused records from the state crime and criminal tracking network.</w:t>
      </w:r>
    </w:p>
    <w:p>
      <w:pPr>
        <w:pStyle w:val="ListParagraph"/>
        <w:numPr>
          <w:ilvl w:val="0"/>
          <w:numId w:val="2"/>
        </w:numPr>
        <w:spacing w:after="80" w:line="276"/>
      </w:pPr>
      <w:r>
        <w:rPr>
          <w:b/>
          <w:bCs/>
          <w:color w:val="111827"/>
          <w:sz w:val="21"/>
          <w:szCs w:val="21"/>
        </w:rPr>
        <w:t xml:space="preserve">E-Petty </w:t>
      </w:r>
      <w:r>
        <w:rPr>
          <w:color w:val="1F2937"/>
          <w:sz w:val="21"/>
          <w:szCs w:val="21"/>
        </w:rPr>
        <w:t xml:space="preserve">— petty case records. Where a strong CCTNS hit is found, the ePetty lookup may be skipped, and the interface labels this explicitly.</w:t>
      </w:r>
    </w:p>
    <w:p>
      <w:pPr>
        <w:pStyle w:val="Heading3"/>
        <w:spacing w:after="100" w:before="220"/>
      </w:pPr>
      <w:r>
        <w:rPr>
          <w:b/>
          <w:bCs/>
          <w:color w:val="475569"/>
          <w:sz w:val="21"/>
          <w:szCs w:val="21"/>
        </w:rPr>
        <w:t xml:space="preserve">CCTNS match categories</w:t>
      </w:r>
    </w:p>
    <w:p>
      <w:pPr>
        <w:spacing w:after="120" w:line="276"/>
      </w:pPr>
      <w:r>
        <w:rPr>
          <w:color w:val="1F2937"/>
          <w:sz w:val="21"/>
          <w:szCs w:val="21"/>
        </w:rPr>
        <w:t xml:space="preserve">Within the CCTNS tab, matches are grouped by how they were found, in descending order of reliability. Each category shows its own count, and categories with no results are disabled.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5826"/>
      </w:tblGrid>
      <w:tr>
        <w:trPr>
          <w:tblHeader/>
        </w:trPr>
        <w:tc>
          <w:tcPr>
            <w:tcW w:type="dxa" w:w="32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Match category</w:t>
            </w:r>
          </w:p>
        </w:tc>
        <w:tc>
          <w:tcPr>
            <w:tcW w:type="dxa" w:w="58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Basis</w:t>
            </w:r>
          </w:p>
        </w:tc>
      </w:tr>
      <w:tr>
        <w:tc>
          <w:tcPr>
            <w:tcW w:type="dxa" w:w="3200"/>
            <w:tcMar>
              <w:top w:type="dxa" w:w="90"/>
              <w:left w:type="dxa" w:w="130"/>
              <w:bottom w:type="dxa" w:w="90"/>
              <w:right w:type="dxa" w:w="130"/>
            </w:tcMar>
            <w:vAlign w:val="center"/>
          </w:tcPr>
          <w:p>
            <w:pPr>
              <w:spacing w:after="0" w:line="260"/>
            </w:pPr>
            <w:r>
              <w:rPr>
                <w:color w:val="1F2937"/>
                <w:sz w:val="20"/>
                <w:szCs w:val="20"/>
              </w:rPr>
              <w:t xml:space="preserve">Aadhaar exact match</w:t>
            </w:r>
          </w:p>
        </w:tc>
        <w:tc>
          <w:tcPr>
            <w:tcW w:type="dxa" w:w="5826"/>
            <w:tcMar>
              <w:top w:type="dxa" w:w="90"/>
              <w:left w:type="dxa" w:w="130"/>
              <w:bottom w:type="dxa" w:w="90"/>
              <w:right w:type="dxa" w:w="130"/>
            </w:tcMar>
            <w:vAlign w:val="center"/>
          </w:tcPr>
          <w:p>
            <w:pPr>
              <w:spacing w:after="0" w:line="260"/>
            </w:pPr>
            <w:r>
              <w:rPr>
                <w:color w:val="1F2937"/>
                <w:sz w:val="20"/>
                <w:szCs w:val="20"/>
              </w:rPr>
              <w:t xml:space="preserve">Aadhaar number matched exactly — strongest signal</w:t>
            </w:r>
          </w:p>
        </w:tc>
      </w:tr>
      <w:tr>
        <w:tc>
          <w:tcPr>
            <w:tcW w:type="dxa" w:w="3200"/>
            <w:shd w:fill="F1F5F9" w:color="auto" w:val="clear"/>
            <w:tcMar>
              <w:top w:type="dxa" w:w="90"/>
              <w:left w:type="dxa" w:w="130"/>
              <w:bottom w:type="dxa" w:w="90"/>
              <w:right w:type="dxa" w:w="130"/>
            </w:tcMar>
            <w:vAlign w:val="center"/>
          </w:tcPr>
          <w:p>
            <w:pPr>
              <w:spacing w:after="0" w:line="260"/>
            </w:pPr>
            <w:r>
              <w:rPr>
                <w:color w:val="1F2937"/>
                <w:sz w:val="20"/>
                <w:szCs w:val="20"/>
              </w:rPr>
              <w:t xml:space="preserve">Name + phone exact</w:t>
            </w:r>
          </w:p>
        </w:tc>
        <w:tc>
          <w:tcPr>
            <w:tcW w:type="dxa" w:w="5826"/>
            <w:shd w:fill="F1F5F9" w:color="auto" w:val="clear"/>
            <w:tcMar>
              <w:top w:type="dxa" w:w="90"/>
              <w:left w:type="dxa" w:w="130"/>
              <w:bottom w:type="dxa" w:w="90"/>
              <w:right w:type="dxa" w:w="130"/>
            </w:tcMar>
            <w:vAlign w:val="center"/>
          </w:tcPr>
          <w:p>
            <w:pPr>
              <w:spacing w:after="0" w:line="260"/>
            </w:pPr>
            <w:r>
              <w:rPr>
                <w:color w:val="1F2937"/>
                <w:sz w:val="20"/>
                <w:szCs w:val="20"/>
              </w:rPr>
              <w:t xml:space="preserve">Both name and phone number matched exactly</w:t>
            </w:r>
          </w:p>
        </w:tc>
      </w:tr>
      <w:tr>
        <w:tc>
          <w:tcPr>
            <w:tcW w:type="dxa" w:w="3200"/>
            <w:tcMar>
              <w:top w:type="dxa" w:w="90"/>
              <w:left w:type="dxa" w:w="130"/>
              <w:bottom w:type="dxa" w:w="90"/>
              <w:right w:type="dxa" w:w="130"/>
            </w:tcMar>
            <w:vAlign w:val="center"/>
          </w:tcPr>
          <w:p>
            <w:pPr>
              <w:spacing w:after="0" w:line="260"/>
            </w:pPr>
            <w:r>
              <w:rPr>
                <w:color w:val="1F2937"/>
                <w:sz w:val="20"/>
                <w:szCs w:val="20"/>
              </w:rPr>
              <w:t xml:space="preserve">Name exact</w:t>
            </w:r>
          </w:p>
        </w:tc>
        <w:tc>
          <w:tcPr>
            <w:tcW w:type="dxa" w:w="5826"/>
            <w:tcMar>
              <w:top w:type="dxa" w:w="90"/>
              <w:left w:type="dxa" w:w="130"/>
              <w:bottom w:type="dxa" w:w="90"/>
              <w:right w:type="dxa" w:w="130"/>
            </w:tcMar>
            <w:vAlign w:val="center"/>
          </w:tcPr>
          <w:p>
            <w:pPr>
              <w:spacing w:after="0" w:line="260"/>
            </w:pPr>
            <w:r>
              <w:rPr>
                <w:color w:val="1F2937"/>
                <w:sz w:val="20"/>
                <w:szCs w:val="20"/>
              </w:rPr>
              <w:t xml:space="preserve">Name matched exactly</w:t>
            </w:r>
          </w:p>
        </w:tc>
      </w:tr>
      <w:tr>
        <w:tc>
          <w:tcPr>
            <w:tcW w:type="dxa" w:w="3200"/>
            <w:shd w:fill="F1F5F9" w:color="auto" w:val="clear"/>
            <w:tcMar>
              <w:top w:type="dxa" w:w="90"/>
              <w:left w:type="dxa" w:w="130"/>
              <w:bottom w:type="dxa" w:w="90"/>
              <w:right w:type="dxa" w:w="130"/>
            </w:tcMar>
            <w:vAlign w:val="center"/>
          </w:tcPr>
          <w:p>
            <w:pPr>
              <w:spacing w:after="0" w:line="260"/>
            </w:pPr>
            <w:r>
              <w:rPr>
                <w:color w:val="1F2937"/>
                <w:sz w:val="20"/>
                <w:szCs w:val="20"/>
              </w:rPr>
              <w:t xml:space="preserve">Phone exact</w:t>
            </w:r>
          </w:p>
        </w:tc>
        <w:tc>
          <w:tcPr>
            <w:tcW w:type="dxa" w:w="5826"/>
            <w:shd w:fill="F1F5F9" w:color="auto" w:val="clear"/>
            <w:tcMar>
              <w:top w:type="dxa" w:w="90"/>
              <w:left w:type="dxa" w:w="130"/>
              <w:bottom w:type="dxa" w:w="90"/>
              <w:right w:type="dxa" w:w="130"/>
            </w:tcMar>
            <w:vAlign w:val="center"/>
          </w:tcPr>
          <w:p>
            <w:pPr>
              <w:spacing w:after="0" w:line="260"/>
            </w:pPr>
            <w:r>
              <w:rPr>
                <w:color w:val="1F2937"/>
                <w:sz w:val="20"/>
                <w:szCs w:val="20"/>
              </w:rPr>
              <w:t xml:space="preserve">Phone number matched exactly</w:t>
            </w:r>
          </w:p>
        </w:tc>
      </w:tr>
      <w:tr>
        <w:tc>
          <w:tcPr>
            <w:tcW w:type="dxa" w:w="3200"/>
            <w:tcMar>
              <w:top w:type="dxa" w:w="90"/>
              <w:left w:type="dxa" w:w="130"/>
              <w:bottom w:type="dxa" w:w="90"/>
              <w:right w:type="dxa" w:w="130"/>
            </w:tcMar>
            <w:vAlign w:val="center"/>
          </w:tcPr>
          <w:p>
            <w:pPr>
              <w:spacing w:after="0" w:line="260"/>
            </w:pPr>
            <w:r>
              <w:rPr>
                <w:color w:val="1F2937"/>
                <w:sz w:val="20"/>
                <w:szCs w:val="20"/>
              </w:rPr>
              <w:t xml:space="preserve">Trigram fuzzy name fallback</w:t>
            </w:r>
          </w:p>
        </w:tc>
        <w:tc>
          <w:tcPr>
            <w:tcW w:type="dxa" w:w="5826"/>
            <w:tcMar>
              <w:top w:type="dxa" w:w="90"/>
              <w:left w:type="dxa" w:w="130"/>
              <w:bottom w:type="dxa" w:w="90"/>
              <w:right w:type="dxa" w:w="130"/>
            </w:tcMar>
            <w:vAlign w:val="center"/>
          </w:tcPr>
          <w:p>
            <w:pPr>
              <w:spacing w:after="0" w:line="260"/>
            </w:pPr>
            <w:r>
              <w:rPr>
                <w:color w:val="1F2937"/>
                <w:sz w:val="20"/>
                <w:szCs w:val="20"/>
              </w:rPr>
              <w:t xml:space="preserve">Approximate name similarity — weakest signal, highest false-positive risk</w:t>
            </w:r>
          </w:p>
        </w:tc>
      </w:tr>
    </w:tbl>
    <w:p>
      <w:pPr>
        <w:spacing w:after="200"/>
      </w:pPr>
    </w:p>
    <w:p>
      <w:pPr>
        <w:spacing w:after="120" w:line="276"/>
      </w:pPr>
      <w:r>
        <w:rPr>
          <w:color w:val="1F2937"/>
          <w:sz w:val="21"/>
          <w:szCs w:val="21"/>
        </w:rPr>
        <w:t xml:space="preserve">Each match card also carries a confidence score, colour-banded so that high-confidence and marginal results are visually distinguishable at a glance, together with the risk tier of the matched record.</w:t>
      </w:r>
    </w:p>
    <w:p>
      <w:pPr>
        <w:pStyle w:val="Heading2"/>
        <w:spacing w:after="120" w:before="280"/>
      </w:pPr>
      <w:r>
        <w:rPr>
          <w:rFonts w:ascii="Georgia" w:cs="Georgia" w:eastAsia="Georgia" w:hAnsi="Georgia"/>
          <w:b/>
          <w:bCs/>
          <w:color w:val="1E3A8A"/>
          <w:sz w:val="24"/>
          <w:szCs w:val="24"/>
        </w:rPr>
        <w:t xml:space="preserve">8.5 Inspect an individual match</w:t>
      </w:r>
    </w:p>
    <w:p>
      <w:pPr>
        <w:spacing w:after="120" w:line="276"/>
      </w:pPr>
      <w:r>
        <w:rPr>
          <w:color w:val="1F2937"/>
          <w:sz w:val="21"/>
          <w:szCs w:val="21"/>
        </w:rPr>
        <w:t xml:space="preserve">Selecting a match opens the Offender Registry Match Vetting window. For a CCTNS record this loads the full dossier; for an ePetty or other record it presents the match details captured during the scan. The window shows identity and demographics, physical features, FIR and crime records, and arrest records.</w:t>
      </w:r>
    </w:p>
    <w:p>
      <w:pPr>
        <w:spacing w:after="120" w:line="276"/>
      </w:pPr>
      <w:r>
        <w:rPr>
          <w:color w:val="1F2937"/>
          <w:sz w:val="21"/>
          <w:szCs w:val="21"/>
        </w:rPr>
        <w:t xml:space="preserve">Two decisions are available from this window:</w:t>
      </w:r>
    </w:p>
    <w:p>
      <w:pPr>
        <w:pStyle w:val="ListParagraph"/>
        <w:numPr>
          <w:ilvl w:val="0"/>
          <w:numId w:val="2"/>
        </w:numPr>
        <w:spacing w:after="80" w:line="276"/>
      </w:pPr>
      <w:r>
        <w:rPr>
          <w:b/>
          <w:bCs/>
          <w:color w:val="111827"/>
          <w:sz w:val="21"/>
          <w:szCs w:val="21"/>
        </w:rPr>
        <w:t xml:space="preserve">Discard Match </w:t>
      </w:r>
      <w:r>
        <w:rPr>
          <w:color w:val="1F2937"/>
          <w:sz w:val="21"/>
          <w:szCs w:val="21"/>
        </w:rPr>
        <w:t xml:space="preserve">— records the match as a false positive. The candidate is not the person on the register. The card is marked as discarded and can be restored if selected in error.</w:t>
      </w:r>
    </w:p>
    <w:p>
      <w:pPr>
        <w:pStyle w:val="ListParagraph"/>
        <w:numPr>
          <w:ilvl w:val="0"/>
          <w:numId w:val="2"/>
        </w:numPr>
        <w:spacing w:after="80" w:line="276"/>
      </w:pPr>
      <w:r>
        <w:rPr>
          <w:b/>
          <w:bCs/>
          <w:color w:val="111827"/>
          <w:sz w:val="21"/>
          <w:szCs w:val="21"/>
        </w:rPr>
        <w:t xml:space="preserve">Confirm Match </w:t>
      </w:r>
      <w:r>
        <w:rPr>
          <w:color w:val="1F2937"/>
          <w:sz w:val="21"/>
          <w:szCs w:val="21"/>
        </w:rPr>
        <w:t xml:space="preserve">— records a true identity match. This is the action that unlocks rejection, and it can be reversed by discarding the same match.</w:t>
      </w:r>
    </w:p>
    <w:p>
      <w:pPr>
        <w:spacing w:after="120"/>
      </w:pPr>
    </w:p>
    <w:tbl>
      <w:tblPr>
        <w:tblW w:type="dxa" w:w="9026"/>
        <w:tblBorders>
          <w:top w:val="single" w:color="FCD34D" w:sz="4"/>
          <w:left w:val="single" w:color="B45309" w:sz="18"/>
          <w:bottom w:val="single" w:color="FCD34D" w:sz="4"/>
          <w:right w:val="single" w:color="FCD34D" w:sz="4"/>
          <w:insideH w:val="none"/>
          <w:insideV w:val="none"/>
        </w:tblBorders>
      </w:tblPr>
      <w:tblGrid>
        <w:gridCol w:w="9026"/>
      </w:tblGrid>
      <w:tr>
        <w:tc>
          <w:tcPr>
            <w:tcW w:type="dxa" w:w="9026"/>
            <w:shd w:fill="FFFBEB" w:color="auto" w:val="clear"/>
            <w:tcMar>
              <w:top w:type="dxa" w:w="140"/>
              <w:left w:type="dxa" w:w="180"/>
              <w:bottom w:type="dxa" w:w="140"/>
              <w:right w:type="dxa" w:w="180"/>
            </w:tcMar>
          </w:tcPr>
          <w:p>
            <w:pPr>
              <w:spacing w:after="60"/>
            </w:pPr>
            <w:r>
              <w:rPr>
                <w:b/>
                <w:bCs/>
                <w:color w:val="92400E"/>
                <w:sz w:val="20"/>
                <w:szCs w:val="20"/>
              </w:rPr>
              <w:t xml:space="preserve">The distinction is operationally binding</w:t>
            </w:r>
          </w:p>
          <w:p>
            <w:pPr>
              <w:spacing w:after="0" w:line="270"/>
            </w:pPr>
            <w:r>
              <w:rPr>
                <w:color w:val="451A03"/>
                <w:sz w:val="20"/>
                <w:szCs w:val="20"/>
              </w:rPr>
              <w:t xml:space="preserve">Discard means false positive — clearance can still be issued once every open match has been discarded. Confirm means true identity — the clearance must then be rejected. The interface enforces this; see Section 9.</w:t>
            </w:r>
          </w:p>
        </w:tc>
      </w:tr>
    </w:tbl>
    <w:p>
      <w:pPr>
        <w:pStyle w:val="Heading2"/>
        <w:spacing w:after="120" w:before="280"/>
      </w:pPr>
      <w:r>
        <w:rPr>
          <w:rFonts w:ascii="Georgia" w:cs="Georgia" w:eastAsia="Georgia" w:hAnsi="Georgia"/>
          <w:b/>
          <w:bCs/>
          <w:color w:val="1E3A8A"/>
          <w:sz w:val="24"/>
          <w:szCs w:val="24"/>
        </w:rPr>
        <w:t xml:space="preserve">8.6 Record notes and decide</w:t>
      </w:r>
    </w:p>
    <w:p>
      <w:pPr>
        <w:spacing w:after="120" w:line="276"/>
      </w:pPr>
      <w:r>
        <w:rPr>
          <w:color w:val="1F2937"/>
          <w:sz w:val="21"/>
          <w:szCs w:val="21"/>
        </w:rPr>
        <w:t xml:space="preserve">The decision panel on the right of the screen carries an Officer Verification Notes field. Notes entered here are appended to the decision record and are visible to the requesting institution alongside the outcome, so they should be written accordingly — factual, professional, and free of any offender-identifying detail.</w:t>
      </w:r>
    </w:p>
    <w:p>
      <w:pPr>
        <w:spacing w:after="120" w:line="276"/>
      </w:pPr>
      <w:r>
        <w:rPr>
          <w:color w:val="1F2937"/>
          <w:sz w:val="21"/>
          <w:szCs w:val="21"/>
        </w:rPr>
        <w:t xml:space="preserve">Two decision controls are available, gated by the rules in Section 9:</w:t>
      </w:r>
    </w:p>
    <w:p>
      <w:pPr>
        <w:pStyle w:val="ListParagraph"/>
        <w:numPr>
          <w:ilvl w:val="0"/>
          <w:numId w:val="2"/>
        </w:numPr>
        <w:spacing w:after="80" w:line="276"/>
      </w:pPr>
      <w:r>
        <w:rPr>
          <w:b/>
          <w:bCs/>
          <w:color w:val="111827"/>
          <w:sz w:val="21"/>
          <w:szCs w:val="21"/>
        </w:rPr>
        <w:t xml:space="preserve">Issue Clearance </w:t>
      </w:r>
      <w:r>
        <w:rPr>
          <w:color w:val="1F2937"/>
          <w:sz w:val="21"/>
          <w:szCs w:val="21"/>
        </w:rPr>
        <w:t xml:space="preserve">— records that the candidate was verified against the register and CCTNS crime logs with no confirming identity matches. Where matches were reviewed and discarded, the decision record automatically states how many were examined and how many were treated as false positives.</w:t>
      </w:r>
    </w:p>
    <w:p>
      <w:pPr>
        <w:pStyle w:val="ListParagraph"/>
        <w:numPr>
          <w:ilvl w:val="0"/>
          <w:numId w:val="2"/>
        </w:numPr>
        <w:spacing w:after="80" w:line="276"/>
      </w:pPr>
      <w:r>
        <w:rPr>
          <w:b/>
          <w:bCs/>
          <w:color w:val="111827"/>
          <w:sz w:val="21"/>
          <w:szCs w:val="21"/>
        </w:rPr>
        <w:t xml:space="preserve">Reject Clearance Request </w:t>
      </w:r>
      <w:r>
        <w:rPr>
          <w:color w:val="1F2937"/>
          <w:sz w:val="21"/>
          <w:szCs w:val="21"/>
        </w:rPr>
        <w:t xml:space="preserve">— records that the candidate’s identity matches a registered offender profile, naming the matched record in the internal decision log.</w:t>
      </w:r>
    </w:p>
    <w:p>
      <w:pPr>
        <w:spacing w:after="120"/>
      </w:pPr>
    </w:p>
    <w:p>
      <w:pPr>
        <w:spacing w:after="120" w:line="276"/>
      </w:pPr>
      <w:r>
        <w:rPr>
          <w:color w:val="1F2937"/>
          <w:sz w:val="21"/>
          <w:szCs w:val="21"/>
        </w:rPr>
        <w:t xml:space="preserve">On either decision the officer is returned to the queue, and the institution is notified of the outcome.</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9. Decision Gating Rules</w:t>
      </w:r>
    </w:p>
    <w:p>
      <w:pPr>
        <w:spacing w:after="120" w:line="276"/>
      </w:pPr>
      <w:r>
        <w:rPr>
          <w:color w:val="1F2937"/>
          <w:sz w:val="21"/>
          <w:szCs w:val="21"/>
        </w:rPr>
        <w:t xml:space="preserve">The interface will not permit an unsupported decision. Officers should understand the gating precisely, because a disabled button is the system preventing an inconsistent outcome rather than a fault.</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4426"/>
        <w:gridCol w:w="2300"/>
        <w:gridCol w:w="2300"/>
      </w:tblGrid>
      <w:tr>
        <w:trPr>
          <w:tblHeader/>
        </w:trPr>
        <w:tc>
          <w:tcPr>
            <w:tcW w:type="dxa" w:w="4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Situation after the scan</w:t>
            </w:r>
          </w:p>
        </w:tc>
        <w:tc>
          <w:tcPr>
            <w:tcW w:type="dxa" w:w="23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Issue Clearance</w:t>
            </w:r>
          </w:p>
        </w:tc>
        <w:tc>
          <w:tcPr>
            <w:tcW w:type="dxa" w:w="23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Reject Clearance</w:t>
            </w:r>
          </w:p>
        </w:tc>
      </w:tr>
      <w:tr>
        <w:tc>
          <w:tcPr>
            <w:tcW w:type="dxa" w:w="4426"/>
            <w:tcMar>
              <w:top w:type="dxa" w:w="90"/>
              <w:left w:type="dxa" w:w="130"/>
              <w:bottom w:type="dxa" w:w="90"/>
              <w:right w:type="dxa" w:w="130"/>
            </w:tcMar>
            <w:vAlign w:val="center"/>
          </w:tcPr>
          <w:p>
            <w:pPr>
              <w:spacing w:after="0" w:line="260"/>
            </w:pPr>
            <w:r>
              <w:rPr>
                <w:color w:val="1F2937"/>
                <w:sz w:val="20"/>
                <w:szCs w:val="20"/>
              </w:rPr>
              <w:t xml:space="preserve">No matches returned</w:t>
            </w:r>
          </w:p>
        </w:tc>
        <w:tc>
          <w:tcPr>
            <w:tcW w:type="dxa" w:w="2300"/>
            <w:tcMar>
              <w:top w:type="dxa" w:w="90"/>
              <w:left w:type="dxa" w:w="130"/>
              <w:bottom w:type="dxa" w:w="90"/>
              <w:right w:type="dxa" w:w="130"/>
            </w:tcMar>
            <w:vAlign w:val="center"/>
          </w:tcPr>
          <w:p>
            <w:pPr>
              <w:spacing w:after="0" w:line="260"/>
            </w:pPr>
            <w:r>
              <w:rPr>
                <w:color w:val="1F2937"/>
                <w:sz w:val="20"/>
                <w:szCs w:val="20"/>
              </w:rPr>
              <w:t xml:space="preserve">Enabled</w:t>
            </w:r>
          </w:p>
        </w:tc>
        <w:tc>
          <w:tcPr>
            <w:tcW w:type="dxa" w:w="2300"/>
            <w:tcMar>
              <w:top w:type="dxa" w:w="90"/>
              <w:left w:type="dxa" w:w="130"/>
              <w:bottom w:type="dxa" w:w="90"/>
              <w:right w:type="dxa" w:w="130"/>
            </w:tcMar>
            <w:vAlign w:val="center"/>
          </w:tcPr>
          <w:p>
            <w:pPr>
              <w:spacing w:after="0" w:line="260"/>
            </w:pPr>
            <w:r>
              <w:rPr>
                <w:color w:val="1F2937"/>
                <w:sz w:val="20"/>
                <w:szCs w:val="20"/>
              </w:rPr>
              <w:t xml:space="preserve">Permanently disabled</w:t>
            </w:r>
          </w:p>
        </w:tc>
      </w:tr>
      <w:tr>
        <w:tc>
          <w:tcPr>
            <w:tcW w:type="dxa" w:w="4426"/>
            <w:shd w:fill="F1F5F9" w:color="auto" w:val="clear"/>
            <w:tcMar>
              <w:top w:type="dxa" w:w="90"/>
              <w:left w:type="dxa" w:w="130"/>
              <w:bottom w:type="dxa" w:w="90"/>
              <w:right w:type="dxa" w:w="130"/>
            </w:tcMar>
            <w:vAlign w:val="center"/>
          </w:tcPr>
          <w:p>
            <w:pPr>
              <w:spacing w:after="0" w:line="260"/>
            </w:pPr>
            <w:r>
              <w:rPr>
                <w:color w:val="1F2937"/>
                <w:sz w:val="20"/>
                <w:szCs w:val="20"/>
              </w:rPr>
              <w:t xml:space="preserve">Matches returned, none yet reviewed</w:t>
            </w:r>
          </w:p>
        </w:tc>
        <w:tc>
          <w:tcPr>
            <w:tcW w:type="dxa" w:w="2300"/>
            <w:shd w:fill="F1F5F9" w:color="auto" w:val="clear"/>
            <w:tcMar>
              <w:top w:type="dxa" w:w="90"/>
              <w:left w:type="dxa" w:w="130"/>
              <w:bottom w:type="dxa" w:w="90"/>
              <w:right w:type="dxa" w:w="130"/>
            </w:tcMar>
            <w:vAlign w:val="center"/>
          </w:tcPr>
          <w:p>
            <w:pPr>
              <w:spacing w:after="0" w:line="260"/>
            </w:pPr>
            <w:r>
              <w:rPr>
                <w:color w:val="1F2937"/>
                <w:sz w:val="20"/>
                <w:szCs w:val="20"/>
              </w:rPr>
              <w:t xml:space="preserve">Disabled</w:t>
            </w:r>
          </w:p>
        </w:tc>
        <w:tc>
          <w:tcPr>
            <w:tcW w:type="dxa" w:w="2300"/>
            <w:shd w:fill="F1F5F9" w:color="auto" w:val="clear"/>
            <w:tcMar>
              <w:top w:type="dxa" w:w="90"/>
              <w:left w:type="dxa" w:w="130"/>
              <w:bottom w:type="dxa" w:w="90"/>
              <w:right w:type="dxa" w:w="130"/>
            </w:tcMar>
            <w:vAlign w:val="center"/>
          </w:tcPr>
          <w:p>
            <w:pPr>
              <w:spacing w:after="0" w:line="260"/>
            </w:pPr>
            <w:r>
              <w:rPr>
                <w:color w:val="1F2937"/>
                <w:sz w:val="20"/>
                <w:szCs w:val="20"/>
              </w:rPr>
              <w:t xml:space="preserve">Disabled</w:t>
            </w:r>
          </w:p>
        </w:tc>
      </w:tr>
      <w:tr>
        <w:tc>
          <w:tcPr>
            <w:tcW w:type="dxa" w:w="4426"/>
            <w:tcMar>
              <w:top w:type="dxa" w:w="90"/>
              <w:left w:type="dxa" w:w="130"/>
              <w:bottom w:type="dxa" w:w="90"/>
              <w:right w:type="dxa" w:w="130"/>
            </w:tcMar>
            <w:vAlign w:val="center"/>
          </w:tcPr>
          <w:p>
            <w:pPr>
              <w:spacing w:after="0" w:line="260"/>
            </w:pPr>
            <w:r>
              <w:rPr>
                <w:color w:val="1F2937"/>
                <w:sz w:val="20"/>
                <w:szCs w:val="20"/>
              </w:rPr>
              <w:t xml:space="preserve">Matches returned, some discarded, some still open</w:t>
            </w:r>
          </w:p>
        </w:tc>
        <w:tc>
          <w:tcPr>
            <w:tcW w:type="dxa" w:w="2300"/>
            <w:tcMar>
              <w:top w:type="dxa" w:w="90"/>
              <w:left w:type="dxa" w:w="130"/>
              <w:bottom w:type="dxa" w:w="90"/>
              <w:right w:type="dxa" w:w="130"/>
            </w:tcMar>
            <w:vAlign w:val="center"/>
          </w:tcPr>
          <w:p>
            <w:pPr>
              <w:spacing w:after="0" w:line="260"/>
            </w:pPr>
            <w:r>
              <w:rPr>
                <w:color w:val="1F2937"/>
                <w:sz w:val="20"/>
                <w:szCs w:val="20"/>
              </w:rPr>
              <w:t xml:space="preserve">Disabled</w:t>
            </w:r>
          </w:p>
        </w:tc>
        <w:tc>
          <w:tcPr>
            <w:tcW w:type="dxa" w:w="2300"/>
            <w:tcMar>
              <w:top w:type="dxa" w:w="90"/>
              <w:left w:type="dxa" w:w="130"/>
              <w:bottom w:type="dxa" w:w="90"/>
              <w:right w:type="dxa" w:w="130"/>
            </w:tcMar>
            <w:vAlign w:val="center"/>
          </w:tcPr>
          <w:p>
            <w:pPr>
              <w:spacing w:after="0" w:line="260"/>
            </w:pPr>
            <w:r>
              <w:rPr>
                <w:color w:val="1F2937"/>
                <w:sz w:val="20"/>
                <w:szCs w:val="20"/>
              </w:rPr>
              <w:t xml:space="preserve">Disabled</w:t>
            </w:r>
          </w:p>
        </w:tc>
      </w:tr>
      <w:tr>
        <w:tc>
          <w:tcPr>
            <w:tcW w:type="dxa" w:w="4426"/>
            <w:shd w:fill="F1F5F9" w:color="auto" w:val="clear"/>
            <w:tcMar>
              <w:top w:type="dxa" w:w="90"/>
              <w:left w:type="dxa" w:w="130"/>
              <w:bottom w:type="dxa" w:w="90"/>
              <w:right w:type="dxa" w:w="130"/>
            </w:tcMar>
            <w:vAlign w:val="center"/>
          </w:tcPr>
          <w:p>
            <w:pPr>
              <w:spacing w:after="0" w:line="260"/>
            </w:pPr>
            <w:r>
              <w:rPr>
                <w:color w:val="1F2937"/>
                <w:sz w:val="20"/>
                <w:szCs w:val="20"/>
              </w:rPr>
              <w:t xml:space="preserve">All matches discarded as false positives</w:t>
            </w:r>
          </w:p>
        </w:tc>
        <w:tc>
          <w:tcPr>
            <w:tcW w:type="dxa" w:w="2300"/>
            <w:shd w:fill="F1F5F9" w:color="auto" w:val="clear"/>
            <w:tcMar>
              <w:top w:type="dxa" w:w="90"/>
              <w:left w:type="dxa" w:w="130"/>
              <w:bottom w:type="dxa" w:w="90"/>
              <w:right w:type="dxa" w:w="130"/>
            </w:tcMar>
            <w:vAlign w:val="center"/>
          </w:tcPr>
          <w:p>
            <w:pPr>
              <w:spacing w:after="0" w:line="260"/>
            </w:pPr>
            <w:r>
              <w:rPr>
                <w:color w:val="1F2937"/>
                <w:sz w:val="20"/>
                <w:szCs w:val="20"/>
              </w:rPr>
              <w:t xml:space="preserve">Enabled</w:t>
            </w:r>
          </w:p>
        </w:tc>
        <w:tc>
          <w:tcPr>
            <w:tcW w:type="dxa" w:w="2300"/>
            <w:shd w:fill="F1F5F9" w:color="auto" w:val="clear"/>
            <w:tcMar>
              <w:top w:type="dxa" w:w="90"/>
              <w:left w:type="dxa" w:w="130"/>
              <w:bottom w:type="dxa" w:w="90"/>
              <w:right w:type="dxa" w:w="130"/>
            </w:tcMar>
            <w:vAlign w:val="center"/>
          </w:tcPr>
          <w:p>
            <w:pPr>
              <w:spacing w:after="0" w:line="260"/>
            </w:pPr>
            <w:r>
              <w:rPr>
                <w:color w:val="1F2937"/>
                <w:sz w:val="20"/>
                <w:szCs w:val="20"/>
              </w:rPr>
              <w:t xml:space="preserve">Disabled</w:t>
            </w:r>
          </w:p>
        </w:tc>
      </w:tr>
      <w:tr>
        <w:tc>
          <w:tcPr>
            <w:tcW w:type="dxa" w:w="4426"/>
            <w:tcMar>
              <w:top w:type="dxa" w:w="90"/>
              <w:left w:type="dxa" w:w="130"/>
              <w:bottom w:type="dxa" w:w="90"/>
              <w:right w:type="dxa" w:w="130"/>
            </w:tcMar>
            <w:vAlign w:val="center"/>
          </w:tcPr>
          <w:p>
            <w:pPr>
              <w:spacing w:after="0" w:line="260"/>
            </w:pPr>
            <w:r>
              <w:rPr>
                <w:color w:val="1F2937"/>
                <w:sz w:val="20"/>
                <w:szCs w:val="20"/>
              </w:rPr>
              <w:t xml:space="preserve">One match confirmed as a true identity</w:t>
            </w:r>
          </w:p>
        </w:tc>
        <w:tc>
          <w:tcPr>
            <w:tcW w:type="dxa" w:w="2300"/>
            <w:tcMar>
              <w:top w:type="dxa" w:w="90"/>
              <w:left w:type="dxa" w:w="130"/>
              <w:bottom w:type="dxa" w:w="90"/>
              <w:right w:type="dxa" w:w="130"/>
            </w:tcMar>
            <w:vAlign w:val="center"/>
          </w:tcPr>
          <w:p>
            <w:pPr>
              <w:spacing w:after="0" w:line="260"/>
            </w:pPr>
            <w:r>
              <w:rPr>
                <w:color w:val="1F2937"/>
                <w:sz w:val="20"/>
                <w:szCs w:val="20"/>
              </w:rPr>
              <w:t xml:space="preserve">Disabled</w:t>
            </w:r>
          </w:p>
        </w:tc>
        <w:tc>
          <w:tcPr>
            <w:tcW w:type="dxa" w:w="2300"/>
            <w:tcMar>
              <w:top w:type="dxa" w:w="90"/>
              <w:left w:type="dxa" w:w="130"/>
              <w:bottom w:type="dxa" w:w="90"/>
              <w:right w:type="dxa" w:w="130"/>
            </w:tcMar>
            <w:vAlign w:val="center"/>
          </w:tcPr>
          <w:p>
            <w:pPr>
              <w:spacing w:after="0" w:line="260"/>
            </w:pPr>
            <w:r>
              <w:rPr>
                <w:color w:val="1F2937"/>
                <w:sz w:val="20"/>
                <w:szCs w:val="20"/>
              </w:rPr>
              <w:t xml:space="preserve">Enabled</w:t>
            </w:r>
          </w:p>
        </w:tc>
      </w:tr>
    </w:tbl>
    <w:p>
      <w:pPr>
        <w:spacing w:after="200"/>
      </w:pPr>
    </w:p>
    <w:p>
      <w:pPr>
        <w:spacing w:after="120" w:line="276"/>
      </w:pPr>
      <w:r>
        <w:rPr>
          <w:color w:val="1F2937"/>
          <w:sz w:val="21"/>
          <w:szCs w:val="21"/>
        </w:rPr>
        <w:t xml:space="preserve">In plain terms:</w:t>
      </w:r>
    </w:p>
    <w:p>
      <w:pPr>
        <w:pStyle w:val="ListParagraph"/>
        <w:numPr>
          <w:ilvl w:val="0"/>
          <w:numId w:val="2"/>
        </w:numPr>
        <w:spacing w:after="80" w:line="276"/>
      </w:pPr>
      <w:r>
        <w:rPr>
          <w:color w:val="1F2937"/>
          <w:sz w:val="21"/>
          <w:szCs w:val="21"/>
        </w:rPr>
        <w:t xml:space="preserve">Clearance can only be issued when nothing was found, or when every match found has been positively examined and dismissed.</w:t>
      </w:r>
    </w:p>
    <w:p>
      <w:pPr>
        <w:pStyle w:val="ListParagraph"/>
        <w:numPr>
          <w:ilvl w:val="0"/>
          <w:numId w:val="2"/>
        </w:numPr>
        <w:spacing w:after="80" w:line="276"/>
      </w:pPr>
      <w:r>
        <w:rPr>
          <w:color w:val="1F2937"/>
          <w:sz w:val="21"/>
          <w:szCs w:val="21"/>
        </w:rPr>
        <w:t xml:space="preserve">Clearance can only be rejected when a match has been positively confirmed as the same individual.</w:t>
      </w:r>
    </w:p>
    <w:p>
      <w:pPr>
        <w:pStyle w:val="ListParagraph"/>
        <w:numPr>
          <w:ilvl w:val="0"/>
          <w:numId w:val="2"/>
        </w:numPr>
        <w:spacing w:after="80" w:line="276"/>
      </w:pPr>
      <w:r>
        <w:rPr>
          <w:color w:val="1F2937"/>
          <w:sz w:val="21"/>
          <w:szCs w:val="21"/>
        </w:rPr>
        <w:t xml:space="preserve">Leaving matches unexamined blocks both outcomes. The request stays in Verifying until the officer completes the review.</w:t>
      </w:r>
    </w:p>
    <w:p>
      <w:pPr>
        <w:spacing w:after="120"/>
      </w:pPr>
    </w:p>
    <w:p>
      <w:pPr>
        <w:spacing w:after="120" w:line="276"/>
      </w:pPr>
      <w:r>
        <w:rPr>
          <w:color w:val="1F2937"/>
          <w:sz w:val="21"/>
          <w:szCs w:val="21"/>
        </w:rPr>
        <w:t xml:space="preserve">Guidance text under the decision buttons states which condition is currently unmet, so the officer always knows what remains to be done.</w:t>
      </w:r>
    </w:p>
    <w:p>
      <w:pPr>
        <w:pStyle w:val="Heading1"/>
        <w:pBdr>
          <w:bottom w:val="single" w:color="B45309" w:sz="12" w:space="6"/>
        </w:pBdr>
        <w:spacing w:after="160" w:before="360"/>
      </w:pPr>
      <w:r>
        <w:rPr>
          <w:rFonts w:ascii="Georgia" w:cs="Georgia" w:eastAsia="Georgia" w:hAnsi="Georgia"/>
          <w:b/>
          <w:bCs/>
          <w:color w:val="13294B"/>
          <w:sz w:val="30"/>
          <w:szCs w:val="30"/>
        </w:rPr>
        <w:t xml:space="preserve">10. Clearance History</w:t>
      </w:r>
    </w:p>
    <w:p>
      <w:pPr>
        <w:spacing w:after="120" w:line="276"/>
      </w:pPr>
      <w:r>
        <w:rPr>
          <w:color w:val="1F2937"/>
          <w:sz w:val="21"/>
          <w:szCs w:val="21"/>
        </w:rPr>
        <w:t xml:space="preserve">Clearance History holds every completed decision — both issued and denied. The table shows the reference, submitting organization and candidate, role, decision date and outcome, and can be searched by organization, candidate or role.</w:t>
      </w:r>
    </w:p>
    <w:p>
      <w:pPr>
        <w:spacing w:after="120" w:line="276"/>
      </w:pPr>
      <w:r>
        <w:rPr>
          <w:color w:val="1F2937"/>
          <w:sz w:val="21"/>
          <w:szCs w:val="21"/>
        </w:rPr>
        <w:t xml:space="preserve">Opening a completed record shows the archived vetting file. The record is finalised and locked: the decision date is displayed, the decision log reason is shown, and any officer verification notes are presented separately. No decision controls are available on a closed record.</w:t>
      </w:r>
    </w:p>
    <w:p>
      <w:pPr>
        <w:spacing w:after="120" w:line="276"/>
      </w:pPr>
      <w:r>
        <w:rPr>
          <w:color w:val="1F2937"/>
          <w:sz w:val="21"/>
          <w:szCs w:val="21"/>
        </w:rPr>
        <w:t xml:space="preserve">This view is the officer’s evidence trail. Because decisions are attributable and immutable, it is also the record against which any later appeal from an institution is assessed.</w:t>
      </w:r>
    </w:p>
    <w:p>
      <w:pPr>
        <w:pStyle w:val="Heading1"/>
        <w:pBdr>
          <w:bottom w:val="single" w:color="B45309" w:sz="12" w:space="6"/>
        </w:pBdr>
        <w:spacing w:after="160" w:before="360"/>
      </w:pPr>
      <w:r>
        <w:rPr>
          <w:rFonts w:ascii="Georgia" w:cs="Georgia" w:eastAsia="Georgia" w:hAnsi="Georgia"/>
          <w:b/>
          <w:bCs/>
          <w:color w:val="13294B"/>
          <w:sz w:val="30"/>
          <w:szCs w:val="30"/>
        </w:rPr>
        <w:t xml:space="preserve">11. Organization Approvals</w:t>
      </w:r>
    </w:p>
    <w:p>
      <w:pPr>
        <w:spacing w:after="120" w:line="276"/>
      </w:pPr>
      <w:r>
        <w:rPr>
          <w:color w:val="1F2937"/>
          <w:sz w:val="21"/>
          <w:szCs w:val="21"/>
        </w:rPr>
        <w:t xml:space="preserve">No institution can submit a clearance request until an officer has approved its registration. This queue is therefore the platform’s primary access control.</w:t>
      </w:r>
    </w:p>
    <w:p>
      <w:pPr>
        <w:pStyle w:val="Heading2"/>
        <w:spacing w:after="120" w:before="280"/>
      </w:pPr>
      <w:r>
        <w:rPr>
          <w:rFonts w:ascii="Georgia" w:cs="Georgia" w:eastAsia="Georgia" w:hAnsi="Georgia"/>
          <w:b/>
          <w:bCs/>
          <w:color w:val="1E3A8A"/>
          <w:sz w:val="24"/>
          <w:szCs w:val="24"/>
        </w:rPr>
        <w:t xml:space="preserve">The queue</w:t>
      </w:r>
    </w:p>
    <w:p>
      <w:pPr>
        <w:spacing w:after="120" w:line="276"/>
      </w:pPr>
      <w:r>
        <w:rPr>
          <w:color w:val="1F2937"/>
          <w:sz w:val="21"/>
          <w:szCs w:val="21"/>
        </w:rPr>
        <w:t xml:space="preserve">The list shows each applicant institution with its name and application ID, institution type, district, application date and current status of pending, approved or rejected. It can be searched by name, ID or district, and filtered by type, district and status.</w:t>
      </w:r>
    </w:p>
    <w:p>
      <w:pPr>
        <w:pStyle w:val="Heading2"/>
        <w:spacing w:after="120" w:before="280"/>
      </w:pPr>
      <w:r>
        <w:rPr>
          <w:rFonts w:ascii="Georgia" w:cs="Georgia" w:eastAsia="Georgia" w:hAnsi="Georgia"/>
          <w:b/>
          <w:bCs/>
          <w:color w:val="1E3A8A"/>
          <w:sz w:val="24"/>
          <w:szCs w:val="24"/>
        </w:rPr>
        <w:t xml:space="preserve">Reviewing an application</w:t>
      </w:r>
    </w:p>
    <w:p>
      <w:pPr>
        <w:spacing w:after="120" w:line="276"/>
      </w:pPr>
      <w:r>
        <w:rPr>
          <w:color w:val="1F2937"/>
          <w:sz w:val="21"/>
          <w:szCs w:val="21"/>
        </w:rPr>
        <w:t xml:space="preserve">Selecting Review File opens the full application, organised into four sections:</w:t>
      </w:r>
    </w:p>
    <w:p>
      <w:pPr>
        <w:pStyle w:val="ListParagraph"/>
        <w:numPr>
          <w:ilvl w:val="0"/>
          <w:numId w:val="2"/>
        </w:numPr>
        <w:spacing w:after="80" w:line="276"/>
      </w:pPr>
      <w:r>
        <w:rPr>
          <w:b/>
          <w:bCs/>
          <w:color w:val="111827"/>
          <w:sz w:val="21"/>
          <w:szCs w:val="21"/>
        </w:rPr>
        <w:t xml:space="preserve">Institution Details </w:t>
      </w:r>
      <w:r>
        <w:rPr>
          <w:color w:val="1F2937"/>
          <w:sz w:val="21"/>
          <w:szCs w:val="21"/>
        </w:rPr>
        <w:t xml:space="preserve">— organization name, type of institution, parent organization and department or wing.</w:t>
      </w:r>
    </w:p>
    <w:p>
      <w:pPr>
        <w:pStyle w:val="ListParagraph"/>
        <w:numPr>
          <w:ilvl w:val="0"/>
          <w:numId w:val="2"/>
        </w:numPr>
        <w:spacing w:after="80" w:line="276"/>
      </w:pPr>
      <w:r>
        <w:rPr>
          <w:b/>
          <w:bCs/>
          <w:color w:val="111827"/>
          <w:sz w:val="21"/>
          <w:szCs w:val="21"/>
        </w:rPr>
        <w:t xml:space="preserve">Location &amp; Contact </w:t>
      </w:r>
      <w:r>
        <w:rPr>
          <w:color w:val="1F2937"/>
          <w:sz w:val="21"/>
          <w:szCs w:val="21"/>
        </w:rPr>
        <w:t xml:space="preserve">— registered address, jurisdiction zone, website, official email and office phone.</w:t>
      </w:r>
    </w:p>
    <w:p>
      <w:pPr>
        <w:pStyle w:val="ListParagraph"/>
        <w:numPr>
          <w:ilvl w:val="0"/>
          <w:numId w:val="2"/>
        </w:numPr>
        <w:spacing w:after="80" w:line="276"/>
      </w:pPr>
      <w:r>
        <w:rPr>
          <w:b/>
          <w:bCs/>
          <w:color w:val="111827"/>
          <w:sz w:val="21"/>
          <w:szCs w:val="21"/>
        </w:rPr>
        <w:t xml:space="preserve">Administrator Credentials </w:t>
      </w:r>
      <w:r>
        <w:rPr>
          <w:color w:val="1F2937"/>
          <w:sz w:val="21"/>
          <w:szCs w:val="21"/>
        </w:rPr>
        <w:t xml:space="preserve">— requested login ID, administrator name, designation, employee ID, mobile number and direct email.</w:t>
      </w:r>
    </w:p>
    <w:p>
      <w:pPr>
        <w:pStyle w:val="ListParagraph"/>
        <w:numPr>
          <w:ilvl w:val="0"/>
          <w:numId w:val="2"/>
        </w:numPr>
        <w:spacing w:after="80" w:line="276"/>
      </w:pPr>
      <w:r>
        <w:rPr>
          <w:b/>
          <w:bCs/>
          <w:color w:val="111827"/>
          <w:sz w:val="21"/>
          <w:szCs w:val="21"/>
        </w:rPr>
        <w:t xml:space="preserve">Verification Documents </w:t>
      </w:r>
      <w:r>
        <w:rPr>
          <w:color w:val="1F2937"/>
          <w:sz w:val="21"/>
          <w:szCs w:val="21"/>
        </w:rPr>
        <w:t xml:space="preserve">— the authorization letter, government certificate and any supporting documents, each of which can be previewed in an in-app document viewer or downloaded.</w:t>
      </w:r>
    </w:p>
    <w:p>
      <w:pPr>
        <w:pStyle w:val="Heading2"/>
        <w:spacing w:after="120" w:before="280"/>
      </w:pPr>
      <w:r>
        <w:rPr>
          <w:rFonts w:ascii="Georgia" w:cs="Georgia" w:eastAsia="Georgia" w:hAnsi="Georgia"/>
          <w:b/>
          <w:bCs/>
          <w:color w:val="1E3A8A"/>
          <w:sz w:val="24"/>
          <w:szCs w:val="24"/>
        </w:rPr>
        <w:t xml:space="preserve">Deciding</w:t>
      </w:r>
    </w:p>
    <w:p>
      <w:pPr>
        <w:spacing w:after="120" w:line="276"/>
      </w:pPr>
      <w:r>
        <w:rPr>
          <w:color w:val="1F2937"/>
          <w:sz w:val="21"/>
          <w:szCs w:val="21"/>
        </w:rPr>
        <w:t xml:space="preserve">A status banner at the top of the file states the current position and what it means. While the application is pending, two controls are available:</w:t>
      </w:r>
    </w:p>
    <w:p>
      <w:pPr>
        <w:pStyle w:val="ListParagraph"/>
        <w:numPr>
          <w:ilvl w:val="0"/>
          <w:numId w:val="2"/>
        </w:numPr>
        <w:spacing w:after="80" w:line="276"/>
      </w:pPr>
      <w:r>
        <w:rPr>
          <w:b/>
          <w:bCs/>
          <w:color w:val="111827"/>
          <w:sz w:val="21"/>
          <w:szCs w:val="21"/>
        </w:rPr>
        <w:t xml:space="preserve">Approve </w:t>
      </w:r>
      <w:r>
        <w:rPr>
          <w:color w:val="1F2937"/>
          <w:sz w:val="21"/>
          <w:szCs w:val="21"/>
        </w:rPr>
        <w:t xml:space="preserve">— verifies the institution and grants portal access. The administrator is notified and can then sign in.</w:t>
      </w:r>
    </w:p>
    <w:p>
      <w:pPr>
        <w:pStyle w:val="ListParagraph"/>
        <w:numPr>
          <w:ilvl w:val="0"/>
          <w:numId w:val="2"/>
        </w:numPr>
        <w:spacing w:after="80" w:line="276"/>
      </w:pPr>
      <w:r>
        <w:rPr>
          <w:b/>
          <w:bCs/>
          <w:color w:val="111827"/>
          <w:sz w:val="21"/>
          <w:szCs w:val="21"/>
        </w:rPr>
        <w:t xml:space="preserve">Reject </w:t>
      </w:r>
      <w:r>
        <w:rPr>
          <w:color w:val="1F2937"/>
          <w:sz w:val="21"/>
          <w:szCs w:val="21"/>
        </w:rPr>
        <w:t xml:space="preserve">— rejects the application and suspends the requested credentials.</w:t>
      </w:r>
    </w:p>
    <w:p>
      <w:pPr>
        <w:spacing w:after="120"/>
      </w:pPr>
    </w:p>
    <w:p>
      <w:pPr>
        <w:spacing w:after="120" w:line="276"/>
      </w:pPr>
      <w:r>
        <w:rPr>
          <w:color w:val="1F2937"/>
          <w:sz w:val="21"/>
          <w:szCs w:val="21"/>
        </w:rPr>
        <w:t xml:space="preserve">Documents should be opened and checked before approval. The authorization letter and government certificate together establish that the named administrator is entitled to act for a genuine, licensed institution — which is the whole basis on which that institution will later be trusted to submit candidate data under consent.</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12. Support Tickets</w:t>
      </w:r>
    </w:p>
    <w:p>
      <w:pPr>
        <w:spacing w:after="120" w:line="276"/>
      </w:pPr>
      <w:r>
        <w:rPr>
          <w:color w:val="1F2937"/>
          <w:sz w:val="21"/>
          <w:szCs w:val="21"/>
        </w:rPr>
        <w:t xml:space="preserve">The Police Support Console is the officer-side view of the institutional ticketing channel. Institutions raise consultations here, and appeals against rejected clearances arrive in this queue automatically as high-priority tickets.</w:t>
      </w:r>
    </w:p>
    <w:p>
      <w:pPr>
        <w:spacing w:after="120" w:line="276"/>
      </w:pPr>
      <w:r>
        <w:rPr>
          <w:color w:val="1F2937"/>
          <w:sz w:val="21"/>
          <w:szCs w:val="21"/>
        </w:rPr>
        <w:t xml:space="preserve">For each ticket the console shows the ticket number, subject, priority and current status, together with the full message thread.</w:t>
      </w:r>
    </w:p>
    <w:p>
      <w:pPr>
        <w:pStyle w:val="Heading2"/>
        <w:spacing w:after="120" w:before="280"/>
      </w:pPr>
      <w:r>
        <w:rPr>
          <w:rFonts w:ascii="Georgia" w:cs="Georgia" w:eastAsia="Georgia" w:hAnsi="Georgia"/>
          <w:b/>
          <w:bCs/>
          <w:color w:val="1E3A8A"/>
          <w:sz w:val="24"/>
          <w:szCs w:val="24"/>
        </w:rPr>
        <w:t xml:space="preserve">Managing a ticket</w:t>
      </w:r>
    </w:p>
    <w:p>
      <w:pPr>
        <w:pStyle w:val="ListParagraph"/>
        <w:numPr>
          <w:ilvl w:val="0"/>
          <w:numId w:val="2"/>
        </w:numPr>
        <w:spacing w:after="80" w:line="276"/>
      </w:pPr>
      <w:r>
        <w:rPr>
          <w:b/>
          <w:bCs/>
          <w:color w:val="111827"/>
          <w:sz w:val="21"/>
          <w:szCs w:val="21"/>
        </w:rPr>
        <w:t xml:space="preserve">Reply </w:t>
      </w:r>
      <w:r>
        <w:rPr>
          <w:color w:val="1F2937"/>
          <w:sz w:val="21"/>
          <w:szCs w:val="21"/>
        </w:rPr>
        <w:t xml:space="preserve">— official responses are typed into the reply field and appended to the thread while the ticket remains open.</w:t>
      </w:r>
    </w:p>
    <w:p>
      <w:pPr>
        <w:pStyle w:val="ListParagraph"/>
        <w:numPr>
          <w:ilvl w:val="0"/>
          <w:numId w:val="2"/>
        </w:numPr>
        <w:spacing w:after="80" w:line="276"/>
      </w:pPr>
      <w:r>
        <w:rPr>
          <w:b/>
          <w:bCs/>
          <w:color w:val="111827"/>
          <w:sz w:val="21"/>
          <w:szCs w:val="21"/>
        </w:rPr>
        <w:t xml:space="preserve">Set status </w:t>
      </w:r>
      <w:r>
        <w:rPr>
          <w:color w:val="1F2937"/>
          <w:sz w:val="21"/>
          <w:szCs w:val="21"/>
        </w:rPr>
        <w:t xml:space="preserve">— tickets can be moved between Open, In Progress, On Hold and Closed. Closing a ticket disables the reply field on both sides.</w:t>
      </w:r>
    </w:p>
    <w:p>
      <w:pPr>
        <w:pStyle w:val="ListParagraph"/>
        <w:numPr>
          <w:ilvl w:val="0"/>
          <w:numId w:val="2"/>
        </w:numPr>
        <w:spacing w:after="80" w:line="276"/>
      </w:pPr>
      <w:r>
        <w:rPr>
          <w:b/>
          <w:bCs/>
          <w:color w:val="111827"/>
          <w:sz w:val="21"/>
          <w:szCs w:val="21"/>
        </w:rPr>
        <w:t xml:space="preserve">Priority </w:t>
      </w:r>
      <w:r>
        <w:rPr>
          <w:color w:val="1F2937"/>
          <w:sz w:val="21"/>
          <w:szCs w:val="21"/>
        </w:rPr>
        <w:t xml:space="preserve">— displayed as Critical, High, Medium or Low, colour-coded so that urgent items are identifiable in the inbox.</w:t>
      </w:r>
    </w:p>
    <w:p>
      <w:pPr>
        <w:spacing w:after="120"/>
      </w:pPr>
    </w:p>
    <w:tbl>
      <w:tblPr>
        <w:tblW w:type="dxa" w:w="9026"/>
        <w:tblBorders>
          <w:top w:val="single" w:color="FCD34D" w:sz="4"/>
          <w:left w:val="single" w:color="B45309" w:sz="18"/>
          <w:bottom w:val="single" w:color="FCD34D" w:sz="4"/>
          <w:right w:val="single" w:color="FCD34D" w:sz="4"/>
          <w:insideH w:val="none"/>
          <w:insideV w:val="none"/>
        </w:tblBorders>
      </w:tblPr>
      <w:tblGrid>
        <w:gridCol w:w="9026"/>
      </w:tblGrid>
      <w:tr>
        <w:tc>
          <w:tcPr>
            <w:tcW w:type="dxa" w:w="9026"/>
            <w:shd w:fill="FFFBEB" w:color="auto" w:val="clear"/>
            <w:tcMar>
              <w:top w:type="dxa" w:w="140"/>
              <w:left w:type="dxa" w:w="180"/>
              <w:bottom w:type="dxa" w:w="140"/>
              <w:right w:type="dxa" w:w="180"/>
            </w:tcMar>
          </w:tcPr>
          <w:p>
            <w:pPr>
              <w:spacing w:after="60"/>
            </w:pPr>
            <w:r>
              <w:rPr>
                <w:b/>
                <w:bCs/>
                <w:color w:val="92400E"/>
                <w:sz w:val="20"/>
                <w:szCs w:val="20"/>
              </w:rPr>
              <w:t xml:space="preserve">Appeals arrive here, not by informal channels</w:t>
            </w:r>
          </w:p>
          <w:p>
            <w:pPr>
              <w:spacing w:after="0" w:line="270"/>
            </w:pPr>
            <w:r>
              <w:rPr>
                <w:color w:val="451A03"/>
                <w:sz w:val="20"/>
                <w:szCs w:val="20"/>
              </w:rPr>
              <w:t xml:space="preserve">When an institution challenges a rejected clearance, the platform raises a high-priority ticket referencing the candidate and the clearance reference. This is the correct and auditable route for that conversation. Officers should resist handling appeals outside the console, since off-platform exchanges are not captured in the audit log.</w:t>
            </w:r>
          </w:p>
        </w:tc>
      </w:tr>
    </w:tbl>
    <w:p>
      <w:pPr>
        <w:pStyle w:val="Heading1"/>
        <w:pBdr>
          <w:bottom w:val="single" w:color="B45309" w:sz="12" w:space="6"/>
        </w:pBdr>
        <w:spacing w:after="160" w:before="360"/>
      </w:pPr>
      <w:r>
        <w:rPr>
          <w:rFonts w:ascii="Georgia" w:cs="Georgia" w:eastAsia="Georgia" w:hAnsi="Georgia"/>
          <w:b/>
          <w:bCs/>
          <w:color w:val="13294B"/>
          <w:sz w:val="30"/>
          <w:szCs w:val="30"/>
        </w:rPr>
        <w:t xml:space="preserve">13. System Audit Log</w:t>
      </w:r>
    </w:p>
    <w:p>
      <w:pPr>
        <w:spacing w:after="120" w:line="276"/>
      </w:pPr>
      <w:r>
        <w:rPr>
          <w:color w:val="1F2937"/>
          <w:sz w:val="21"/>
          <w:szCs w:val="21"/>
        </w:rPr>
        <w:t xml:space="preserve">The audit log is the immutable ledger of all system access and administrative action, and applies to organization users as well as officers. A standing banner states that access is confined to cleared personnel and that misuse or unauthorised extraction carries disciplinary and penal consequences.</w:t>
      </w:r>
    </w:p>
    <w:p>
      <w:pPr>
        <w:spacing w:after="120" w:line="276"/>
      </w:pPr>
      <w:r>
        <w:rPr>
          <w:color w:val="1F2937"/>
          <w:sz w:val="21"/>
          <w:szCs w:val="21"/>
        </w:rPr>
        <w:t xml:space="preserve">Each entry records:</w:t>
      </w:r>
    </w:p>
    <w:p>
      <w:pPr>
        <w:pStyle w:val="ListParagraph"/>
        <w:numPr>
          <w:ilvl w:val="0"/>
          <w:numId w:val="2"/>
        </w:numPr>
        <w:spacing w:after="80" w:line="276"/>
      </w:pPr>
      <w:r>
        <w:rPr>
          <w:b/>
          <w:bCs/>
          <w:color w:val="111827"/>
          <w:sz w:val="21"/>
          <w:szCs w:val="21"/>
        </w:rPr>
        <w:t xml:space="preserve">Timestamp </w:t>
      </w:r>
      <w:r>
        <w:rPr>
          <w:color w:val="1F2937"/>
          <w:sz w:val="21"/>
          <w:szCs w:val="21"/>
        </w:rPr>
        <w:t xml:space="preserve">— date and time of the action.</w:t>
      </w:r>
    </w:p>
    <w:p>
      <w:pPr>
        <w:pStyle w:val="ListParagraph"/>
        <w:numPr>
          <w:ilvl w:val="0"/>
          <w:numId w:val="2"/>
        </w:numPr>
        <w:spacing w:after="80" w:line="276"/>
      </w:pPr>
      <w:r>
        <w:rPr>
          <w:b/>
          <w:bCs/>
          <w:color w:val="111827"/>
          <w:sz w:val="21"/>
          <w:szCs w:val="21"/>
        </w:rPr>
        <w:t xml:space="preserve">Authorized Officer </w:t>
      </w:r>
      <w:r>
        <w:rPr>
          <w:color w:val="1F2937"/>
          <w:sz w:val="21"/>
          <w:szCs w:val="21"/>
        </w:rPr>
        <w:t xml:space="preserve">— the acting user, their role, badge ID and rank where held.</w:t>
      </w:r>
    </w:p>
    <w:p>
      <w:pPr>
        <w:pStyle w:val="ListParagraph"/>
        <w:numPr>
          <w:ilvl w:val="0"/>
          <w:numId w:val="2"/>
        </w:numPr>
        <w:spacing w:after="80" w:line="276"/>
      </w:pPr>
      <w:r>
        <w:rPr>
          <w:b/>
          <w:bCs/>
          <w:color w:val="111827"/>
          <w:sz w:val="21"/>
          <w:szCs w:val="21"/>
        </w:rPr>
        <w:t xml:space="preserve">Action Conducted </w:t>
      </w:r>
      <w:r>
        <w:rPr>
          <w:color w:val="1F2937"/>
          <w:sz w:val="21"/>
          <w:szCs w:val="21"/>
        </w:rPr>
        <w:t xml:space="preserve">— the action itself, automatically categorised as Authentication, Record Access, Vetting, Support or System.</w:t>
      </w:r>
    </w:p>
    <w:p>
      <w:pPr>
        <w:pStyle w:val="ListParagraph"/>
        <w:numPr>
          <w:ilvl w:val="0"/>
          <w:numId w:val="2"/>
        </w:numPr>
        <w:spacing w:after="80" w:line="276"/>
      </w:pPr>
      <w:r>
        <w:rPr>
          <w:b/>
          <w:bCs/>
          <w:color w:val="111827"/>
          <w:sz w:val="21"/>
          <w:szCs w:val="21"/>
        </w:rPr>
        <w:t xml:space="preserve">Access Node </w:t>
      </w:r>
      <w:r>
        <w:rPr>
          <w:color w:val="1F2937"/>
          <w:sz w:val="21"/>
          <w:szCs w:val="21"/>
        </w:rPr>
        <w:t xml:space="preserve">— the IP address from which the action was performed.</w:t>
      </w:r>
    </w:p>
    <w:p>
      <w:pPr>
        <w:spacing w:after="120"/>
      </w:pPr>
    </w:p>
    <w:p>
      <w:pPr>
        <w:spacing w:after="120" w:line="276"/>
      </w:pPr>
      <w:r>
        <w:rPr>
          <w:color w:val="1F2937"/>
          <w:sz w:val="21"/>
          <w:szCs w:val="21"/>
        </w:rPr>
        <w:t xml:space="preserve">The log can be searched by officer name, IP address or action text, and filtered by action type and user role. Because it records record access as well as decisions, it evidences not only what was decided but who looked at what and from where.</w:t>
      </w:r>
    </w:p>
    <w:p>
      <w:pPr>
        <w:pStyle w:val="Heading1"/>
        <w:pBdr>
          <w:bottom w:val="single" w:color="B45309" w:sz="12" w:space="6"/>
        </w:pBdr>
        <w:spacing w:after="160" w:before="360"/>
      </w:pPr>
      <w:r>
        <w:rPr>
          <w:rFonts w:ascii="Georgia" w:cs="Georgia" w:eastAsia="Georgia" w:hAnsi="Georgia"/>
          <w:b/>
          <w:bCs/>
          <w:color w:val="13294B"/>
          <w:sz w:val="30"/>
          <w:szCs w:val="30"/>
        </w:rPr>
        <w:t xml:space="preserve">14. Officer Profile</w:t>
      </w:r>
    </w:p>
    <w:p>
      <w:pPr>
        <w:spacing w:after="120" w:line="276"/>
      </w:pPr>
      <w:r>
        <w:rPr>
          <w:color w:val="1F2937"/>
          <w:sz w:val="21"/>
          <w:szCs w:val="21"/>
        </w:rPr>
        <w:t xml:space="preserve">The Officer Profile holds the credentials under which the officer acts on the platform. The header displays the Officer Badge ID.</w:t>
      </w:r>
    </w:p>
    <w:p>
      <w:pPr>
        <w:pStyle w:val="ListParagraph"/>
        <w:numPr>
          <w:ilvl w:val="0"/>
          <w:numId w:val="2"/>
        </w:numPr>
        <w:spacing w:after="80" w:line="276"/>
      </w:pPr>
      <w:r>
        <w:rPr>
          <w:b/>
          <w:bCs/>
          <w:color w:val="111827"/>
          <w:sz w:val="21"/>
          <w:szCs w:val="21"/>
        </w:rPr>
        <w:t xml:space="preserve">Access Status </w:t>
      </w:r>
      <w:r>
        <w:rPr>
          <w:color w:val="1F2937"/>
          <w:sz w:val="21"/>
          <w:szCs w:val="21"/>
        </w:rPr>
        <w:t xml:space="preserve">— current authorisation state and recorded clearance level.</w:t>
      </w:r>
    </w:p>
    <w:p>
      <w:pPr>
        <w:pStyle w:val="ListParagraph"/>
        <w:numPr>
          <w:ilvl w:val="0"/>
          <w:numId w:val="2"/>
        </w:numPr>
        <w:spacing w:after="80" w:line="276"/>
      </w:pPr>
      <w:r>
        <w:rPr>
          <w:b/>
          <w:bCs/>
          <w:color w:val="111827"/>
          <w:sz w:val="21"/>
          <w:szCs w:val="21"/>
        </w:rPr>
        <w:t xml:space="preserve">Officer Specifications </w:t>
      </w:r>
      <w:r>
        <w:rPr>
          <w:color w:val="1F2937"/>
          <w:sz w:val="21"/>
          <w:szCs w:val="21"/>
        </w:rPr>
        <w:t xml:space="preserve">— name, rank, employee ID, department, wing, jurisdiction and joining date.</w:t>
      </w:r>
    </w:p>
    <w:p>
      <w:pPr>
        <w:pStyle w:val="ListParagraph"/>
        <w:numPr>
          <w:ilvl w:val="0"/>
          <w:numId w:val="2"/>
        </w:numPr>
        <w:spacing w:after="80" w:line="276"/>
      </w:pPr>
      <w:r>
        <w:rPr>
          <w:b/>
          <w:bCs/>
          <w:color w:val="111827"/>
          <w:sz w:val="21"/>
          <w:szCs w:val="21"/>
        </w:rPr>
        <w:t xml:space="preserve">Station Posting </w:t>
      </w:r>
      <w:r>
        <w:rPr>
          <w:color w:val="1F2937"/>
          <w:sz w:val="21"/>
          <w:szCs w:val="21"/>
        </w:rPr>
        <w:t xml:space="preserve">— station, district, state and country.</w:t>
      </w:r>
    </w:p>
    <w:p>
      <w:pPr>
        <w:pStyle w:val="ListParagraph"/>
        <w:numPr>
          <w:ilvl w:val="0"/>
          <w:numId w:val="2"/>
        </w:numPr>
        <w:spacing w:after="80" w:line="276"/>
      </w:pPr>
      <w:r>
        <w:rPr>
          <w:b/>
          <w:bCs/>
          <w:color w:val="111827"/>
          <w:sz w:val="21"/>
          <w:szCs w:val="21"/>
        </w:rPr>
        <w:t xml:space="preserve">Contact Details </w:t>
      </w:r>
      <w:r>
        <w:rPr>
          <w:color w:val="1F2937"/>
          <w:sz w:val="21"/>
          <w:szCs w:val="21"/>
        </w:rPr>
        <w:t xml:space="preserve">— official email, mobile and alternate phone.</w:t>
      </w:r>
    </w:p>
    <w:p>
      <w:pPr>
        <w:pStyle w:val="ListParagraph"/>
        <w:numPr>
          <w:ilvl w:val="0"/>
          <w:numId w:val="2"/>
        </w:numPr>
        <w:spacing w:after="80" w:line="276"/>
      </w:pPr>
      <w:r>
        <w:rPr>
          <w:b/>
          <w:bCs/>
          <w:color w:val="111827"/>
          <w:sz w:val="21"/>
          <w:szCs w:val="21"/>
        </w:rPr>
        <w:t xml:space="preserve">Officer Documents </w:t>
      </w:r>
      <w:r>
        <w:rPr>
          <w:color w:val="1F2937"/>
          <w:sz w:val="21"/>
          <w:szCs w:val="21"/>
        </w:rPr>
        <w:t xml:space="preserve">— uploaded supporting documents, viewable in an in-app document viewer.</w:t>
      </w:r>
    </w:p>
    <w:p>
      <w:pPr>
        <w:pStyle w:val="Heading1"/>
        <w:pBdr>
          <w:bottom w:val="single" w:color="B45309" w:sz="12" w:space="6"/>
        </w:pBdr>
        <w:spacing w:after="160" w:before="360"/>
      </w:pPr>
      <w:r>
        <w:rPr>
          <w:rFonts w:ascii="Georgia" w:cs="Georgia" w:eastAsia="Georgia" w:hAnsi="Georgia"/>
          <w:b/>
          <w:bCs/>
          <w:color w:val="13294B"/>
          <w:sz w:val="30"/>
          <w:szCs w:val="30"/>
        </w:rPr>
        <w:t xml:space="preserve">15. Officer Duties and Conduct</w:t>
      </w:r>
    </w:p>
    <w:p>
      <w:pPr>
        <w:spacing w:after="120" w:line="276"/>
      </w:pPr>
      <w:r>
        <w:rPr>
          <w:color w:val="1F2937"/>
          <w:sz w:val="21"/>
          <w:szCs w:val="21"/>
        </w:rPr>
        <w:t xml:space="preserve">The platform enforces process, but the quality of every decision rests with the officer. The following obligations apply.</w:t>
      </w:r>
    </w:p>
    <w:p>
      <w:pPr>
        <w:pStyle w:val="ListParagraph"/>
        <w:numPr>
          <w:ilvl w:val="0"/>
          <w:numId w:val="2"/>
        </w:numPr>
        <w:spacing w:after="80" w:line="276"/>
      </w:pPr>
      <w:r>
        <w:rPr>
          <w:b/>
          <w:bCs/>
          <w:color w:val="111827"/>
          <w:sz w:val="21"/>
          <w:szCs w:val="21"/>
        </w:rPr>
        <w:t xml:space="preserve">Verify consent before scanning. </w:t>
      </w:r>
      <w:r>
        <w:rPr>
          <w:color w:val="1F2937"/>
          <w:sz w:val="21"/>
          <w:szCs w:val="21"/>
        </w:rPr>
        <w:t xml:space="preserve">Open the signed consent declaration on every request. A candidate’s data should not be matched against the register without it.</w:t>
      </w:r>
    </w:p>
    <w:p>
      <w:pPr>
        <w:pStyle w:val="ListParagraph"/>
        <w:numPr>
          <w:ilvl w:val="0"/>
          <w:numId w:val="2"/>
        </w:numPr>
        <w:spacing w:after="80" w:line="276"/>
      </w:pPr>
      <w:r>
        <w:rPr>
          <w:b/>
          <w:bCs/>
          <w:color w:val="111827"/>
          <w:sz w:val="21"/>
          <w:szCs w:val="21"/>
        </w:rPr>
        <w:t xml:space="preserve">Inspect every match individually. </w:t>
      </w:r>
      <w:r>
        <w:rPr>
          <w:color w:val="1F2937"/>
          <w:sz w:val="21"/>
          <w:szCs w:val="21"/>
        </w:rPr>
        <w:t xml:space="preserve">A returned match is a candidate for review, not a finding. Fuzzy name matches in particular carry a high false-positive rate and must be examined against demographics before being confirmed.</w:t>
      </w:r>
    </w:p>
    <w:p>
      <w:pPr>
        <w:pStyle w:val="ListParagraph"/>
        <w:numPr>
          <w:ilvl w:val="0"/>
          <w:numId w:val="2"/>
        </w:numPr>
        <w:spacing w:after="80" w:line="276"/>
      </w:pPr>
      <w:r>
        <w:rPr>
          <w:b/>
          <w:bCs/>
          <w:color w:val="111827"/>
          <w:sz w:val="21"/>
          <w:szCs w:val="21"/>
        </w:rPr>
        <w:t xml:space="preserve">Never disclose register content. </w:t>
      </w:r>
      <w:r>
        <w:rPr>
          <w:color w:val="1F2937"/>
          <w:sz w:val="21"/>
          <w:szCs w:val="21"/>
        </w:rPr>
        <w:t xml:space="preserve">The identity, record ID and offence detail of any matched offender stay inside the police portal. Decision notes visible to institutions must not contain them.</w:t>
      </w:r>
    </w:p>
    <w:p>
      <w:pPr>
        <w:pStyle w:val="ListParagraph"/>
        <w:numPr>
          <w:ilvl w:val="0"/>
          <w:numId w:val="2"/>
        </w:numPr>
        <w:spacing w:after="80" w:line="276"/>
      </w:pPr>
      <w:r>
        <w:rPr>
          <w:b/>
          <w:bCs/>
          <w:color w:val="111827"/>
          <w:sz w:val="21"/>
          <w:szCs w:val="21"/>
        </w:rPr>
        <w:t xml:space="preserve">Write notes that stand up later. </w:t>
      </w:r>
      <w:r>
        <w:rPr>
          <w:color w:val="1F2937"/>
          <w:sz w:val="21"/>
          <w:szCs w:val="21"/>
        </w:rPr>
        <w:t xml:space="preserve">Officer notes form part of the permanent decision record and may be relied on in an appeal. They should be factual and specific about what was checked.</w:t>
      </w:r>
    </w:p>
    <w:p>
      <w:pPr>
        <w:pStyle w:val="ListParagraph"/>
        <w:numPr>
          <w:ilvl w:val="0"/>
          <w:numId w:val="2"/>
        </w:numPr>
        <w:spacing w:after="80" w:line="276"/>
      </w:pPr>
      <w:r>
        <w:rPr>
          <w:b/>
          <w:bCs/>
          <w:color w:val="111827"/>
          <w:sz w:val="21"/>
          <w:szCs w:val="21"/>
        </w:rPr>
        <w:t xml:space="preserve">Approve institutions on evidence. </w:t>
      </w:r>
      <w:r>
        <w:rPr>
          <w:color w:val="1F2937"/>
          <w:sz w:val="21"/>
          <w:szCs w:val="21"/>
        </w:rPr>
        <w:t xml:space="preserve">Grant portal access only where the authorization letter and government certificate genuinely establish the institution and the administrator’s authority.</w:t>
      </w:r>
    </w:p>
    <w:p>
      <w:pPr>
        <w:pStyle w:val="ListParagraph"/>
        <w:numPr>
          <w:ilvl w:val="0"/>
          <w:numId w:val="2"/>
        </w:numPr>
        <w:spacing w:after="80" w:line="276"/>
      </w:pPr>
      <w:r>
        <w:rPr>
          <w:b/>
          <w:bCs/>
          <w:color w:val="111827"/>
          <w:sz w:val="21"/>
          <w:szCs w:val="21"/>
        </w:rPr>
        <w:t xml:space="preserve">Do not share credentials. </w:t>
      </w:r>
      <w:r>
        <w:rPr>
          <w:color w:val="1F2937"/>
          <w:sz w:val="21"/>
          <w:szCs w:val="21"/>
        </w:rPr>
        <w:t xml:space="preserve">Every action is attributed to the signed-in officer by badge ID and access node. Shared credentials destroy attributability and the audit trail with it.</w:t>
      </w:r>
    </w:p>
    <w:p>
      <w:pPr>
        <w:pStyle w:val="ListParagraph"/>
        <w:numPr>
          <w:ilvl w:val="0"/>
          <w:numId w:val="2"/>
        </w:numPr>
        <w:spacing w:after="80" w:line="276"/>
      </w:pPr>
      <w:r>
        <w:rPr>
          <w:b/>
          <w:bCs/>
          <w:color w:val="111827"/>
          <w:sz w:val="21"/>
          <w:szCs w:val="21"/>
        </w:rPr>
        <w:t xml:space="preserve">Handle appeals in the console. </w:t>
      </w:r>
      <w:r>
        <w:rPr>
          <w:color w:val="1F2937"/>
          <w:sz w:val="21"/>
          <w:szCs w:val="21"/>
        </w:rPr>
        <w:t xml:space="preserve">Use the support ticket thread so the exchange is captured.</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16. Current Status and Known Limitations</w:t>
      </w:r>
    </w:p>
    <w:p>
      <w:pPr>
        <w:spacing w:after="120" w:line="276"/>
      </w:pPr>
      <w:r>
        <w:rPr>
          <w:color w:val="1F2937"/>
          <w:sz w:val="21"/>
          <w:szCs w:val="21"/>
        </w:rPr>
        <w:t xml:space="preserve">The application is in active development. The following are present in the police interface today and warrant attention before operational rollout.</w:t>
      </w:r>
    </w:p>
    <w:p>
      <w:pPr>
        <w:pStyle w:val="ListParagraph"/>
        <w:numPr>
          <w:ilvl w:val="0"/>
          <w:numId w:val="2"/>
        </w:numPr>
        <w:spacing w:after="80" w:line="276"/>
      </w:pPr>
      <w:r>
        <w:rPr>
          <w:b/>
          <w:bCs/>
          <w:color w:val="111827"/>
          <w:sz w:val="21"/>
          <w:szCs w:val="21"/>
        </w:rPr>
        <w:t xml:space="preserve">Jurisdiction-filtered counts on the dashboard are derived, not queried. </w:t>
      </w:r>
      <w:r>
        <w:rPr>
          <w:color w:val="1F2937"/>
          <w:sz w:val="21"/>
          <w:szCs w:val="21"/>
        </w:rPr>
        <w:t xml:space="preserve">When a district or mandal is selected on the map, the Pending Clearances and Audit Events figures are calculated arithmetically from the offender total for that area rather than fetched from filtered data. The offender count itself is real. These two derived figures should be replaced with jurisdiction-scoped queries before officers rely on them operationally.</w:t>
      </w:r>
    </w:p>
    <w:p>
      <w:pPr>
        <w:pStyle w:val="ListParagraph"/>
        <w:numPr>
          <w:ilvl w:val="0"/>
          <w:numId w:val="2"/>
        </w:numPr>
        <w:spacing w:after="80" w:line="276"/>
      </w:pPr>
      <w:r>
        <w:rPr>
          <w:b/>
          <w:bCs/>
          <w:color w:val="111827"/>
          <w:sz w:val="21"/>
          <w:szCs w:val="21"/>
        </w:rPr>
        <w:t xml:space="preserve">The scan progress log is presentational. </w:t>
      </w:r>
      <w:r>
        <w:rPr>
          <w:color w:val="1F2937"/>
          <w:sz w:val="21"/>
          <w:szCs w:val="21"/>
        </w:rPr>
        <w:t xml:space="preserve">The status messages shown during a registry scan run on a fixed sequence before the actual query is issued, including a line referencing a thirty-second wait. The messages do not reflect real query progress or timing and should be driven by the actual scan lifecycle.</w:t>
      </w:r>
    </w:p>
    <w:p>
      <w:pPr>
        <w:pStyle w:val="ListParagraph"/>
        <w:numPr>
          <w:ilvl w:val="0"/>
          <w:numId w:val="2"/>
        </w:numPr>
        <w:spacing w:after="80" w:line="276"/>
      </w:pPr>
      <w:r>
        <w:rPr>
          <w:b/>
          <w:bCs/>
          <w:color w:val="111827"/>
          <w:sz w:val="21"/>
          <w:szCs w:val="21"/>
        </w:rPr>
        <w:t xml:space="preserve">Organization Approvals filters do not match the real data. </w:t>
      </w:r>
      <w:r>
        <w:rPr>
          <w:color w:val="1F2937"/>
          <w:sz w:val="21"/>
          <w:szCs w:val="21"/>
        </w:rPr>
        <w:t xml:space="preserve">The Type filter offers School, Pre-school, College and Healthcare, whereas registrations are captured against a different category list. The District filter offers four options against thirty-three districts. As written, both filters will hide valid records from an officer.</w:t>
      </w:r>
    </w:p>
    <w:p>
      <w:pPr>
        <w:pStyle w:val="ListParagraph"/>
        <w:numPr>
          <w:ilvl w:val="0"/>
          <w:numId w:val="2"/>
        </w:numPr>
        <w:spacing w:after="80" w:line="276"/>
      </w:pPr>
      <w:r>
        <w:rPr>
          <w:b/>
          <w:bCs/>
          <w:color w:val="111827"/>
          <w:sz w:val="21"/>
          <w:szCs w:val="21"/>
        </w:rPr>
        <w:t xml:space="preserve">The registry results Status column is fixed. </w:t>
      </w:r>
      <w:r>
        <w:rPr>
          <w:color w:val="1F2937"/>
          <w:sz w:val="21"/>
          <w:szCs w:val="21"/>
        </w:rPr>
        <w:t xml:space="preserve">Every row in the Registry Database displays the same status value regardless of the underlying record, so the column carries no information at present.</w:t>
      </w:r>
    </w:p>
    <w:p>
      <w:pPr>
        <w:pStyle w:val="ListParagraph"/>
        <w:numPr>
          <w:ilvl w:val="0"/>
          <w:numId w:val="2"/>
        </w:numPr>
        <w:spacing w:after="80" w:line="276"/>
      </w:pPr>
      <w:r>
        <w:rPr>
          <w:b/>
          <w:bCs/>
          <w:color w:val="111827"/>
          <w:sz w:val="21"/>
          <w:szCs w:val="21"/>
        </w:rPr>
        <w:t xml:space="preserve">The Silver tier appears in one place but not the other. </w:t>
      </w:r>
      <w:r>
        <w:rPr>
          <w:color w:val="1F2937"/>
          <w:sz w:val="21"/>
          <w:szCs w:val="21"/>
        </w:rPr>
        <w:t xml:space="preserve">Juvenile records are selectable as a filter in the Registry Database while being deliberately excluded from the Risk Tier Guide. The two should be reconciled in line with the non-disclosable treatment of juvenile records.</w:t>
      </w:r>
    </w:p>
    <w:p>
      <w:pPr>
        <w:pStyle w:val="ListParagraph"/>
        <w:numPr>
          <w:ilvl w:val="0"/>
          <w:numId w:val="2"/>
        </w:numPr>
        <w:spacing w:after="80" w:line="276"/>
      </w:pPr>
      <w:r>
        <w:rPr>
          <w:b/>
          <w:bCs/>
          <w:color w:val="111827"/>
          <w:sz w:val="21"/>
          <w:szCs w:val="21"/>
        </w:rPr>
        <w:t xml:space="preserve">Section naming is inconsistent. </w:t>
      </w:r>
      <w:r>
        <w:rPr>
          <w:color w:val="1F2937"/>
          <w:sz w:val="21"/>
          <w:szCs w:val="21"/>
        </w:rPr>
        <w:t xml:space="preserve">The sidebar reads Organization Approvals while the page itself is titled Organization Verifications. One term should be adopted.</w:t>
      </w:r>
    </w:p>
    <w:p>
      <w:pPr>
        <w:pStyle w:val="Heading1"/>
        <w:pBdr>
          <w:bottom w:val="single" w:color="B45309" w:sz="12" w:space="6"/>
        </w:pBdr>
        <w:spacing w:after="160" w:before="360"/>
      </w:pPr>
      <w:r>
        <w:rPr>
          <w:rFonts w:ascii="Georgia" w:cs="Georgia" w:eastAsia="Georgia" w:hAnsi="Georgia"/>
          <w:b/>
          <w:bCs/>
          <w:color w:val="13294B"/>
          <w:sz w:val="30"/>
          <w:szCs w:val="30"/>
        </w:rPr>
        <w:t xml:space="preserve">17. Quick Reference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5426"/>
      </w:tblGrid>
      <w:tr>
        <w:trPr>
          <w:tblHeader/>
        </w:trPr>
        <w:tc>
          <w:tcPr>
            <w:tcW w:type="dxa" w:w="3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Task</w:t>
            </w:r>
          </w:p>
        </w:tc>
        <w:tc>
          <w:tcPr>
            <w:tcW w:type="dxa" w:w="5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Portal location</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Sign in as an officer</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/login — select Police Officer</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Operational overview</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Dashboard — /portal</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Search offender records</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Registry Database — /portal/register</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Open a full dossier</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Open File — /portal/register/{record-id}</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Understand tier grading</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Risk Tier Guide — /portal/tiers</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Work the clearance queue</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Pending Clearances — /portal/clearances</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Vet a specific request</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Process clearance — /portal/clearances/{id}</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Review past decisions</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Clearance History — /portal/clearance-history</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Grant institutional access</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Organization Approvals — /portal/org-verify</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Review an application file</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Review File — /portal/org-verify/{id}</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Answer institutional queries</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Support Tickets — /portal/tickets</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Inspect system access</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System Audit Log — /portal/audit</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Check your credentials</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Officer Profile — /portal/profile</w:t>
            </w:r>
          </w:p>
        </w:tc>
      </w:tr>
    </w:tbl>
    <w:p>
      <w:pPr>
        <w:spacing w:after="300"/>
      </w:pPr>
    </w:p>
    <w:p>
      <w:pPr>
        <w:pBdr>
          <w:top w:val="single" w:color="CBD5E1" w:sz="4" w:space="8"/>
        </w:pBdr>
        <w:spacing w:before="200"/>
      </w:pPr>
      <w:r>
        <w:rPr>
          <w:i/>
          <w:iCs/>
          <w:color w:val="475569"/>
          <w:sz w:val="18"/>
          <w:szCs w:val="18"/>
        </w:rPr>
        <w:t xml:space="preserve">This document describes the police-facing frontend of SSOR as present in the current repository state. Backend and database behaviour is out of scope by design.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spacing w:after="120"/>
    </w:pPr>
    <w:r>
      <w:rPr>
        <w:b/>
        <w:bCs/>
        <w:color w:val="475569"/>
        <w:sz w:val="16"/>
        <w:szCs w:val="16"/>
      </w:rPr>
      <w:t xml:space="preserve">SSOR — Police Officials Usage Document</w:t>
    </w:r>
    <w:r>
      <w:ptab w:alignment="right" w:relativeTo="margin" w:leader="none"/>
    </w:r>
    <w:r>
      <w:rPr>
        <w:color w:val="475569"/>
        <w:sz w:val="16"/>
        <w:szCs w:val="16"/>
      </w:rPr>
      <w:t xml:space="preserve">Restricted — Official Use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45309"/>
      </w:rPr>
    </w:lvl>
    <w:lvl w:ilvl="1" w15:tentative="1">
      <w:start w:val="1"/>
      <w:numFmt w:val="bullet"/>
      <w:lvlText w:val="–"/>
      <w:lvlJc w:val="left"/>
      <w:pPr>
        <w:ind w:left="900" w:hanging="240"/>
      </w:pPr>
      <w:rPr>
        <w:color w:val="475569"/>
      </w:rPr>
    </w:lvl>
  </w:abstractNum>
  <w:abstractNum w:abstractNumId="3" w15:restartNumberingAfterBreak="0">
    <w:multiLevelType w:val="hybridMultilevel"/>
    <w:lvl w:ilvl="0" w15:tentative="1">
      <w:start w:val="1"/>
      <w:numFmt w:val="decimal"/>
      <w:lvlText w:val="%1."/>
      <w:lvlJc w:val="left"/>
      <w:pPr>
        <w:ind w:left="460" w:hanging="30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SSOR — Police Officials Usage Document</dc:title>
  <dc:creator>Blue Cloud Softech Solutions Ltd</dc:creator>
  <dc:description>Police portal usage manual for the State Sexual Offender Registry</dc:description>
  <cp:lastModifiedBy>Un-named</cp:lastModifiedBy>
  <cp:revision>1</cp:revision>
  <dcterms:created xsi:type="dcterms:W3CDTF">2026-07-23T07:34:27.188Z</dcterms:created>
  <dcterms:modified xsi:type="dcterms:W3CDTF">2026-07-23T07:34:27.190Z</dcterms:modified>
</cp:coreProperties>
</file>

<file path=docProps/custom.xml><?xml version="1.0" encoding="utf-8"?>
<Properties xmlns="http://schemas.openxmlformats.org/officeDocument/2006/custom-properties" xmlns:vt="http://schemas.openxmlformats.org/officeDocument/2006/docPropsVTypes"/>
</file>