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FFEB8">
      <w:pPr>
        <w:spacing w:after="20"/>
        <w:rPr>
          <w:rFonts w:hint="default" w:ascii="Arial" w:hAnsi="Arial" w:cs="Arial"/>
          <w:sz w:val="24"/>
          <w:szCs w:val="24"/>
        </w:rPr>
      </w:pPr>
      <w:r>
        <w:rPr>
          <w:rFonts w:hint="default" w:ascii="Arial" w:hAnsi="Arial" w:eastAsia="Calibri" w:cs="Arial"/>
          <w:b/>
          <w:bCs/>
          <w:color w:val="1F3864"/>
          <w:sz w:val="24"/>
          <w:szCs w:val="24"/>
        </w:rPr>
        <w:t>SAGA</w:t>
      </w:r>
      <w:r>
        <w:rPr>
          <w:rFonts w:hint="default" w:ascii="Arial" w:hAnsi="Arial" w:eastAsia="Calibri" w:cs="Arial"/>
          <w:b/>
          <w:bCs/>
          <w:color w:val="15294A"/>
          <w:sz w:val="24"/>
          <w:szCs w:val="24"/>
        </w:rPr>
        <w:t xml:space="preserve">    Political Intelligence for Chhattisgarh</w:t>
      </w:r>
    </w:p>
    <w:p w14:paraId="08FF8C79">
      <w:pPr>
        <w:pBdr>
          <w:bottom w:val="single" w:color="1F3864" w:sz="12" w:space="6"/>
        </w:pBdr>
        <w:spacing w:after="170"/>
        <w:rPr>
          <w:rFonts w:hint="default" w:ascii="Arial" w:hAnsi="Arial" w:cs="Arial"/>
          <w:sz w:val="24"/>
          <w:szCs w:val="24"/>
        </w:rPr>
      </w:pPr>
    </w:p>
    <w:p w14:paraId="42225D66">
      <w:pPr>
        <w:spacing w:after="150" w:line="276" w:lineRule="auto"/>
        <w:rPr>
          <w:rFonts w:hint="default" w:ascii="Arial" w:hAnsi="Arial" w:cs="Arial"/>
          <w:sz w:val="24"/>
          <w:szCs w:val="24"/>
        </w:rPr>
      </w:pPr>
      <w:r>
        <w:rPr>
          <w:rFonts w:hint="default" w:ascii="Arial" w:hAnsi="Arial" w:eastAsia="Calibri" w:cs="Arial"/>
          <w:color w:val="2B2B2B"/>
          <w:sz w:val="24"/>
          <w:szCs w:val="24"/>
        </w:rPr>
        <w:t>Public sentiment in Chhattisgarh now forms and circulates online before it appears in print or broadcast. SAGA monitors that conversation continuously across social platforms and news media in Hindi, Chhattisgarhi and English, and presents it as structured constituency-level intelligence, traceable to its source content.</w:t>
      </w:r>
    </w:p>
    <w:p w14:paraId="26388C59">
      <w:pPr>
        <w:keepNext/>
        <w:spacing w:before="165" w:after="75"/>
        <w:rPr>
          <w:rFonts w:hint="default" w:ascii="Arial" w:hAnsi="Arial" w:cs="Arial"/>
          <w:sz w:val="24"/>
          <w:szCs w:val="24"/>
        </w:rPr>
      </w:pPr>
      <w:r>
        <w:rPr>
          <w:rFonts w:hint="default" w:ascii="Arial" w:hAnsi="Arial" w:eastAsia="Calibri" w:cs="Arial"/>
          <w:b/>
          <w:bCs/>
          <w:color w:val="15294A"/>
          <w:sz w:val="24"/>
          <w:szCs w:val="24"/>
        </w:rPr>
        <w:t>Intelligence capabilities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5471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9D2E0" w:sz="2" w:space="0"/>
              <w:left w:val="single" w:color="C9D2E0" w:sz="2" w:space="0"/>
              <w:bottom w:val="single" w:color="C9D2E0" w:sz="2" w:space="0"/>
              <w:right w:val="single" w:color="C9D2E0" w:sz="2" w:space="0"/>
            </w:tcBorders>
            <w:tcMar>
              <w:top w:w="90" w:type="dxa"/>
              <w:left w:w="130" w:type="dxa"/>
              <w:bottom w:w="90" w:type="dxa"/>
              <w:right w:w="130" w:type="dxa"/>
            </w:tcMar>
          </w:tcPr>
          <w:p w14:paraId="1688691D">
            <w:pPr>
              <w:spacing w:after="0" w:line="258" w:lineRule="auto"/>
              <w:rPr>
                <w:rFonts w:hint="default" w:ascii="Arial" w:hAnsi="Arial" w:cs="Arial"/>
                <w:sz w:val="24"/>
                <w:szCs w:val="24"/>
              </w:rPr>
            </w:pPr>
            <w:r>
              <w:rPr>
                <w:rFonts w:hint="default" w:ascii="Arial" w:hAnsi="Arial" w:eastAsia="Calibri" w:cs="Arial"/>
                <w:b/>
                <w:bCs/>
                <w:color w:val="15294A"/>
                <w:sz w:val="24"/>
                <w:szCs w:val="24"/>
              </w:rPr>
              <w:t>Statewide sentiment mapping</w:t>
            </w:r>
            <w:r>
              <w:rPr>
                <w:rFonts w:hint="default" w:ascii="Arial" w:hAnsi="Arial" w:eastAsia="Calibri" w:cs="Arial"/>
                <w:color w:val="2B2B2B"/>
                <w:sz w:val="24"/>
                <w:szCs w:val="24"/>
              </w:rPr>
              <w:t xml:space="preserve"> — all 90 constituencies scored, ranked and tracked week on week.</w:t>
            </w:r>
          </w:p>
        </w:tc>
        <w:tc>
          <w:tcPr>
            <w:tcW w:w="4680" w:type="dxa"/>
            <w:tcBorders>
              <w:top w:val="single" w:color="C9D2E0" w:sz="2" w:space="0"/>
              <w:left w:val="single" w:color="C9D2E0" w:sz="2" w:space="0"/>
              <w:bottom w:val="single" w:color="C9D2E0" w:sz="2" w:space="0"/>
              <w:right w:val="single" w:color="C9D2E0" w:sz="2" w:space="0"/>
            </w:tcBorders>
            <w:tcMar>
              <w:top w:w="90" w:type="dxa"/>
              <w:left w:w="130" w:type="dxa"/>
              <w:bottom w:w="90" w:type="dxa"/>
              <w:right w:w="130" w:type="dxa"/>
            </w:tcMar>
          </w:tcPr>
          <w:p w14:paraId="74E4E612">
            <w:pPr>
              <w:spacing w:after="0" w:line="258" w:lineRule="auto"/>
              <w:rPr>
                <w:rFonts w:hint="default" w:ascii="Arial" w:hAnsi="Arial" w:cs="Arial"/>
                <w:sz w:val="24"/>
                <w:szCs w:val="24"/>
              </w:rPr>
            </w:pPr>
            <w:r>
              <w:rPr>
                <w:rFonts w:hint="default" w:ascii="Arial" w:hAnsi="Arial" w:eastAsia="Calibri" w:cs="Arial"/>
                <w:b/>
                <w:bCs/>
                <w:color w:val="15294A"/>
                <w:sz w:val="24"/>
                <w:szCs w:val="24"/>
              </w:rPr>
              <w:t>Unrest early warning</w:t>
            </w:r>
            <w:r>
              <w:rPr>
                <w:rFonts w:hint="default" w:ascii="Arial" w:hAnsi="Arial" w:eastAsia="Calibri" w:cs="Arial"/>
                <w:color w:val="2B2B2B"/>
                <w:sz w:val="24"/>
                <w:szCs w:val="24"/>
              </w:rPr>
              <w:t xml:space="preserve"> — a 0–100 risk score per constituency across five levels, weighted to rate of change.</w:t>
            </w:r>
          </w:p>
        </w:tc>
      </w:tr>
      <w:tr w14:paraId="5C633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9D2E0" w:sz="2" w:space="0"/>
              <w:left w:val="single" w:color="C9D2E0" w:sz="2" w:space="0"/>
              <w:bottom w:val="single" w:color="C9D2E0" w:sz="2" w:space="0"/>
              <w:right w:val="single" w:color="C9D2E0" w:sz="2" w:space="0"/>
            </w:tcBorders>
            <w:shd w:val="clear" w:color="auto" w:fill="F2F5F9"/>
            <w:tcMar>
              <w:top w:w="90" w:type="dxa"/>
              <w:left w:w="130" w:type="dxa"/>
              <w:bottom w:w="90" w:type="dxa"/>
              <w:right w:w="130" w:type="dxa"/>
            </w:tcMar>
          </w:tcPr>
          <w:p w14:paraId="2C66DAA3">
            <w:pPr>
              <w:spacing w:after="0" w:line="258" w:lineRule="auto"/>
              <w:rPr>
                <w:rFonts w:hint="default" w:ascii="Arial" w:hAnsi="Arial" w:cs="Arial"/>
                <w:sz w:val="24"/>
                <w:szCs w:val="24"/>
              </w:rPr>
            </w:pPr>
            <w:r>
              <w:rPr>
                <w:rFonts w:hint="default" w:ascii="Arial" w:hAnsi="Arial" w:eastAsia="Calibri" w:cs="Arial"/>
                <w:b/>
                <w:bCs/>
                <w:color w:val="15294A"/>
                <w:sz w:val="24"/>
                <w:szCs w:val="24"/>
              </w:rPr>
              <w:t>Grievance management</w:t>
            </w:r>
            <w:r>
              <w:rPr>
                <w:rFonts w:hint="default" w:ascii="Arial" w:hAnsi="Arial" w:eastAsia="Calibri" w:cs="Arial"/>
                <w:color w:val="2B2B2B"/>
                <w:sz w:val="24"/>
                <w:szCs w:val="24"/>
              </w:rPr>
              <w:t xml:space="preserve"> — complaints mapped to constituency and department, escalated and tracked to closure.</w:t>
            </w:r>
          </w:p>
        </w:tc>
        <w:tc>
          <w:tcPr>
            <w:tcW w:w="4680" w:type="dxa"/>
            <w:tcBorders>
              <w:top w:val="single" w:color="C9D2E0" w:sz="2" w:space="0"/>
              <w:left w:val="single" w:color="C9D2E0" w:sz="2" w:space="0"/>
              <w:bottom w:val="single" w:color="C9D2E0" w:sz="2" w:space="0"/>
              <w:right w:val="single" w:color="C9D2E0" w:sz="2" w:space="0"/>
            </w:tcBorders>
            <w:shd w:val="clear" w:color="auto" w:fill="F2F5F9"/>
            <w:tcMar>
              <w:top w:w="90" w:type="dxa"/>
              <w:left w:w="130" w:type="dxa"/>
              <w:bottom w:w="90" w:type="dxa"/>
              <w:right w:w="130" w:type="dxa"/>
            </w:tcMar>
          </w:tcPr>
          <w:p w14:paraId="5085F454">
            <w:pPr>
              <w:spacing w:after="0" w:line="258" w:lineRule="auto"/>
              <w:rPr>
                <w:rFonts w:hint="default" w:ascii="Arial" w:hAnsi="Arial" w:cs="Arial"/>
                <w:sz w:val="24"/>
                <w:szCs w:val="24"/>
              </w:rPr>
            </w:pPr>
            <w:r>
              <w:rPr>
                <w:rFonts w:hint="default" w:ascii="Arial" w:hAnsi="Arial" w:eastAsia="Calibri" w:cs="Arial"/>
                <w:b/>
                <w:bCs/>
                <w:color w:val="15294A"/>
                <w:sz w:val="24"/>
                <w:szCs w:val="24"/>
              </w:rPr>
              <w:t>Threat and attack detection</w:t>
            </w:r>
            <w:r>
              <w:rPr>
                <w:rFonts w:hint="default" w:ascii="Arial" w:hAnsi="Arial" w:eastAsia="Calibri" w:cs="Arial"/>
                <w:color w:val="2B2B2B"/>
                <w:sz w:val="24"/>
                <w:szCs w:val="24"/>
              </w:rPr>
              <w:t xml:space="preserve"> — abuse, threats and hostile content graded by severity, with evidence retained.</w:t>
            </w:r>
          </w:p>
        </w:tc>
      </w:tr>
      <w:tr w14:paraId="3CA25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9D2E0" w:sz="2" w:space="0"/>
              <w:left w:val="single" w:color="C9D2E0" w:sz="2" w:space="0"/>
              <w:bottom w:val="single" w:color="C9D2E0" w:sz="2" w:space="0"/>
              <w:right w:val="single" w:color="C9D2E0" w:sz="2" w:space="0"/>
            </w:tcBorders>
            <w:tcMar>
              <w:top w:w="90" w:type="dxa"/>
              <w:left w:w="130" w:type="dxa"/>
              <w:bottom w:w="90" w:type="dxa"/>
              <w:right w:w="130" w:type="dxa"/>
            </w:tcMar>
          </w:tcPr>
          <w:p w14:paraId="3F09888A">
            <w:pPr>
              <w:spacing w:after="0" w:line="258" w:lineRule="auto"/>
              <w:rPr>
                <w:rFonts w:hint="default" w:ascii="Arial" w:hAnsi="Arial" w:cs="Arial"/>
                <w:sz w:val="24"/>
                <w:szCs w:val="24"/>
              </w:rPr>
            </w:pPr>
            <w:r>
              <w:rPr>
                <w:rFonts w:hint="default" w:ascii="Arial" w:hAnsi="Arial" w:eastAsia="Calibri" w:cs="Arial"/>
                <w:b/>
                <w:bCs/>
                <w:color w:val="15294A"/>
                <w:sz w:val="24"/>
                <w:szCs w:val="24"/>
              </w:rPr>
              <w:t>Coordinated campaign detection</w:t>
            </w:r>
            <w:r>
              <w:rPr>
                <w:rFonts w:hint="default" w:ascii="Arial" w:hAnsi="Arial" w:eastAsia="Calibri" w:cs="Arial"/>
                <w:color w:val="2B2B2B"/>
                <w:sz w:val="24"/>
                <w:szCs w:val="24"/>
              </w:rPr>
              <w:t xml:space="preserve"> — organised activity separated from organic sentiment by duplication and timing.</w:t>
            </w:r>
          </w:p>
        </w:tc>
        <w:tc>
          <w:tcPr>
            <w:tcW w:w="4680" w:type="dxa"/>
            <w:tcBorders>
              <w:top w:val="single" w:color="C9D2E0" w:sz="2" w:space="0"/>
              <w:left w:val="single" w:color="C9D2E0" w:sz="2" w:space="0"/>
              <w:bottom w:val="single" w:color="C9D2E0" w:sz="2" w:space="0"/>
              <w:right w:val="single" w:color="C9D2E0" w:sz="2" w:space="0"/>
            </w:tcBorders>
            <w:tcMar>
              <w:top w:w="90" w:type="dxa"/>
              <w:left w:w="130" w:type="dxa"/>
              <w:bottom w:w="90" w:type="dxa"/>
              <w:right w:w="130" w:type="dxa"/>
            </w:tcMar>
          </w:tcPr>
          <w:p w14:paraId="0C0EB951">
            <w:pPr>
              <w:spacing w:after="0" w:line="258" w:lineRule="auto"/>
              <w:rPr>
                <w:rFonts w:hint="default" w:ascii="Arial" w:hAnsi="Arial" w:cs="Arial"/>
                <w:sz w:val="24"/>
                <w:szCs w:val="24"/>
              </w:rPr>
            </w:pPr>
            <w:r>
              <w:rPr>
                <w:rFonts w:hint="default" w:ascii="Arial" w:hAnsi="Arial" w:eastAsia="Calibri" w:cs="Arial"/>
                <w:b/>
                <w:bCs/>
                <w:color w:val="15294A"/>
                <w:sz w:val="24"/>
                <w:szCs w:val="24"/>
              </w:rPr>
              <w:t>Virality alerts</w:t>
            </w:r>
            <w:r>
              <w:rPr>
                <w:rFonts w:hint="default" w:ascii="Arial" w:hAnsi="Arial" w:eastAsia="Calibri" w:cs="Arial"/>
                <w:color w:val="2B2B2B"/>
                <w:sz w:val="24"/>
                <w:szCs w:val="24"/>
              </w:rPr>
              <w:t xml:space="preserve"> — content spreading at an abnormal rate flagged within minutes of publication.</w:t>
            </w:r>
          </w:p>
        </w:tc>
      </w:tr>
      <w:tr w14:paraId="1ACB6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9D2E0" w:sz="2" w:space="0"/>
              <w:left w:val="single" w:color="C9D2E0" w:sz="2" w:space="0"/>
              <w:bottom w:val="single" w:color="C9D2E0" w:sz="2" w:space="0"/>
              <w:right w:val="single" w:color="C9D2E0" w:sz="2" w:space="0"/>
            </w:tcBorders>
            <w:shd w:val="clear" w:color="auto" w:fill="F2F5F9"/>
            <w:tcMar>
              <w:top w:w="90" w:type="dxa"/>
              <w:left w:w="130" w:type="dxa"/>
              <w:bottom w:w="90" w:type="dxa"/>
              <w:right w:w="130" w:type="dxa"/>
            </w:tcMar>
          </w:tcPr>
          <w:p w14:paraId="1162F71C">
            <w:pPr>
              <w:spacing w:after="0" w:line="258" w:lineRule="auto"/>
              <w:rPr>
                <w:rFonts w:hint="default" w:ascii="Arial" w:hAnsi="Arial" w:cs="Arial"/>
                <w:sz w:val="24"/>
                <w:szCs w:val="24"/>
              </w:rPr>
            </w:pPr>
            <w:r>
              <w:rPr>
                <w:rFonts w:hint="default" w:ascii="Arial" w:hAnsi="Arial" w:eastAsia="Calibri" w:cs="Arial"/>
                <w:b/>
                <w:bCs/>
                <w:color w:val="15294A"/>
                <w:sz w:val="24"/>
                <w:szCs w:val="24"/>
              </w:rPr>
              <w:t>Leader and MLA performance</w:t>
            </w:r>
            <w:r>
              <w:rPr>
                <w:rFonts w:hint="default" w:ascii="Arial" w:hAnsi="Arial" w:eastAsia="Calibri" w:cs="Arial"/>
                <w:color w:val="2B2B2B"/>
                <w:sz w:val="24"/>
                <w:szCs w:val="24"/>
              </w:rPr>
              <w:t xml:space="preserve"> — sentiment and constituency satisfaction measured per leader, comparable across seats.</w:t>
            </w:r>
          </w:p>
        </w:tc>
        <w:tc>
          <w:tcPr>
            <w:tcW w:w="4680" w:type="dxa"/>
            <w:tcBorders>
              <w:top w:val="single" w:color="C9D2E0" w:sz="2" w:space="0"/>
              <w:left w:val="single" w:color="C9D2E0" w:sz="2" w:space="0"/>
              <w:bottom w:val="single" w:color="C9D2E0" w:sz="2" w:space="0"/>
              <w:right w:val="single" w:color="C9D2E0" w:sz="2" w:space="0"/>
            </w:tcBorders>
            <w:shd w:val="clear" w:color="auto" w:fill="F2F5F9"/>
            <w:tcMar>
              <w:top w:w="90" w:type="dxa"/>
              <w:left w:w="130" w:type="dxa"/>
              <w:bottom w:w="90" w:type="dxa"/>
              <w:right w:w="130" w:type="dxa"/>
            </w:tcMar>
          </w:tcPr>
          <w:p w14:paraId="2A7BF142">
            <w:pPr>
              <w:spacing w:after="0" w:line="258" w:lineRule="auto"/>
              <w:rPr>
                <w:rFonts w:hint="default" w:ascii="Arial" w:hAnsi="Arial" w:cs="Arial"/>
                <w:sz w:val="24"/>
                <w:szCs w:val="24"/>
              </w:rPr>
            </w:pPr>
            <w:r>
              <w:rPr>
                <w:rFonts w:hint="default" w:ascii="Arial" w:hAnsi="Arial" w:eastAsia="Calibri" w:cs="Arial"/>
                <w:b/>
                <w:bCs/>
                <w:color w:val="15294A"/>
                <w:sz w:val="24"/>
                <w:szCs w:val="24"/>
              </w:rPr>
              <w:t>Event impact measurement</w:t>
            </w:r>
            <w:r>
              <w:rPr>
                <w:rFonts w:hint="default" w:ascii="Arial" w:hAnsi="Arial" w:eastAsia="Calibri" w:cs="Arial"/>
                <w:color w:val="2B2B2B"/>
                <w:sz w:val="24"/>
                <w:szCs w:val="24"/>
              </w:rPr>
              <w:t xml:space="preserve"> — district sentiment recorded before and after an event, so change is attributable.</w:t>
            </w:r>
          </w:p>
        </w:tc>
      </w:tr>
      <w:tr w14:paraId="41CD6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9D2E0" w:sz="2" w:space="0"/>
              <w:left w:val="single" w:color="C9D2E0" w:sz="2" w:space="0"/>
              <w:bottom w:val="single" w:color="C9D2E0" w:sz="2" w:space="0"/>
              <w:right w:val="single" w:color="C9D2E0" w:sz="2" w:space="0"/>
            </w:tcBorders>
            <w:tcMar>
              <w:top w:w="90" w:type="dxa"/>
              <w:left w:w="130" w:type="dxa"/>
              <w:bottom w:w="90" w:type="dxa"/>
              <w:right w:w="130" w:type="dxa"/>
            </w:tcMar>
          </w:tcPr>
          <w:p w14:paraId="042CF25B">
            <w:pPr>
              <w:spacing w:after="0" w:line="258" w:lineRule="auto"/>
              <w:rPr>
                <w:rFonts w:hint="default" w:ascii="Arial" w:hAnsi="Arial" w:cs="Arial"/>
                <w:sz w:val="24"/>
                <w:szCs w:val="24"/>
              </w:rPr>
            </w:pPr>
            <w:r>
              <w:rPr>
                <w:rFonts w:hint="default" w:ascii="Arial" w:hAnsi="Arial" w:eastAsia="Calibri" w:cs="Arial"/>
                <w:b/>
                <w:bCs/>
                <w:color w:val="15294A"/>
                <w:sz w:val="24"/>
                <w:szCs w:val="24"/>
              </w:rPr>
              <w:t>Narrative tracking</w:t>
            </w:r>
            <w:r>
              <w:rPr>
                <w:rFonts w:hint="default" w:ascii="Arial" w:hAnsi="Arial" w:eastAsia="Calibri" w:cs="Arial"/>
                <w:color w:val="2B2B2B"/>
                <w:sz w:val="24"/>
                <w:szCs w:val="24"/>
              </w:rPr>
              <w:t xml:space="preserve"> — opposition messaging monitored by source, district and extent of public uptake.</w:t>
            </w:r>
          </w:p>
        </w:tc>
        <w:tc>
          <w:tcPr>
            <w:tcW w:w="4680" w:type="dxa"/>
            <w:tcBorders>
              <w:top w:val="single" w:color="C9D2E0" w:sz="2" w:space="0"/>
              <w:left w:val="single" w:color="C9D2E0" w:sz="2" w:space="0"/>
              <w:bottom w:val="single" w:color="C9D2E0" w:sz="2" w:space="0"/>
              <w:right w:val="single" w:color="C9D2E0" w:sz="2" w:space="0"/>
            </w:tcBorders>
            <w:tcMar>
              <w:top w:w="90" w:type="dxa"/>
              <w:left w:w="130" w:type="dxa"/>
              <w:bottom w:w="90" w:type="dxa"/>
              <w:right w:w="130" w:type="dxa"/>
            </w:tcMar>
          </w:tcPr>
          <w:p w14:paraId="1C9BC0FA">
            <w:pPr>
              <w:spacing w:after="0" w:line="258" w:lineRule="auto"/>
              <w:rPr>
                <w:rFonts w:hint="default" w:ascii="Arial" w:hAnsi="Arial" w:cs="Arial"/>
                <w:sz w:val="24"/>
                <w:szCs w:val="24"/>
              </w:rPr>
            </w:pPr>
            <w:r>
              <w:rPr>
                <w:rFonts w:hint="default" w:ascii="Arial" w:hAnsi="Arial" w:eastAsia="Calibri" w:cs="Arial"/>
                <w:b/>
                <w:bCs/>
                <w:color w:val="15294A"/>
                <w:sz w:val="24"/>
                <w:szCs w:val="24"/>
              </w:rPr>
              <w:t>On-demand reporting</w:t>
            </w:r>
            <w:r>
              <w:rPr>
                <w:rFonts w:hint="default" w:ascii="Arial" w:hAnsi="Arial" w:eastAsia="Calibri" w:cs="Arial"/>
                <w:color w:val="2B2B2B"/>
                <w:sz w:val="24"/>
                <w:szCs w:val="24"/>
              </w:rPr>
              <w:t xml:space="preserve"> — daily, weekly, constituency and custom reports, exported as PDF, Word or Excel.</w:t>
            </w:r>
          </w:p>
        </w:tc>
      </w:tr>
    </w:tbl>
    <w:p w14:paraId="3B946B52">
      <w:pPr>
        <w:keepNext/>
        <w:spacing w:before="165" w:after="75"/>
        <w:rPr>
          <w:rFonts w:hint="default" w:ascii="Arial" w:hAnsi="Arial" w:eastAsia="Calibri" w:cs="Arial"/>
          <w:b/>
          <w:bCs/>
          <w:color w:val="15294A"/>
          <w:sz w:val="24"/>
          <w:szCs w:val="24"/>
        </w:rPr>
      </w:pPr>
      <w:bookmarkStart w:id="0" w:name="_GoBack"/>
      <w:bookmarkEnd w:id="0"/>
      <w:r>
        <w:rPr>
          <w:rFonts w:hint="default" w:ascii="Arial" w:hAnsi="Arial" w:eastAsia="Calibri" w:cs="Arial"/>
          <w:b/>
          <w:bCs/>
          <w:color w:val="15294A"/>
          <w:sz w:val="24"/>
          <w:szCs w:val="24"/>
        </w:rPr>
        <w:t>From signal to action</w:t>
      </w:r>
    </w:p>
    <w:p w14:paraId="282E91FC">
      <w:pPr>
        <w:keepNext/>
        <w:spacing w:before="165" w:after="75"/>
        <w:rPr>
          <w:rFonts w:hint="default" w:ascii="Arial" w:hAnsi="Arial" w:eastAsia="Calibri" w:cs="Arial"/>
          <w:b/>
          <w:bCs/>
          <w:color w:val="15294A"/>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60"/>
        <w:gridCol w:w="3180"/>
        <w:gridCol w:w="3620"/>
      </w:tblGrid>
      <w:tr w14:paraId="1CB28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60" w:type="dxa"/>
            <w:shd w:val="clear" w:color="auto" w:fill="1F3864"/>
            <w:tcMar>
              <w:top w:w="90" w:type="dxa"/>
              <w:left w:w="130" w:type="dxa"/>
              <w:bottom w:w="90" w:type="dxa"/>
              <w:right w:w="130" w:type="dxa"/>
            </w:tcMar>
          </w:tcPr>
          <w:p w14:paraId="746C67FF">
            <w:pPr>
              <w:spacing w:after="0" w:line="258" w:lineRule="auto"/>
              <w:rPr>
                <w:rFonts w:hint="default" w:ascii="Arial" w:hAnsi="Arial" w:cs="Arial"/>
                <w:sz w:val="24"/>
                <w:szCs w:val="24"/>
              </w:rPr>
            </w:pPr>
            <w:r>
              <w:rPr>
                <w:rFonts w:hint="default" w:ascii="Arial" w:hAnsi="Arial" w:eastAsia="Calibri" w:cs="Arial"/>
                <w:b/>
                <w:bCs/>
                <w:color w:val="FFFFFF"/>
                <w:sz w:val="24"/>
                <w:szCs w:val="24"/>
              </w:rPr>
              <w:t>SAGA detects</w:t>
            </w:r>
          </w:p>
        </w:tc>
        <w:tc>
          <w:tcPr>
            <w:tcW w:w="3180" w:type="dxa"/>
            <w:shd w:val="clear" w:color="auto" w:fill="1F3864"/>
            <w:tcMar>
              <w:top w:w="90" w:type="dxa"/>
              <w:left w:w="130" w:type="dxa"/>
              <w:bottom w:w="90" w:type="dxa"/>
              <w:right w:w="130" w:type="dxa"/>
            </w:tcMar>
          </w:tcPr>
          <w:p w14:paraId="651BA6D3">
            <w:pPr>
              <w:spacing w:after="0" w:line="258" w:lineRule="auto"/>
              <w:rPr>
                <w:rFonts w:hint="default" w:ascii="Arial" w:hAnsi="Arial" w:cs="Arial"/>
                <w:sz w:val="24"/>
                <w:szCs w:val="24"/>
              </w:rPr>
            </w:pPr>
            <w:r>
              <w:rPr>
                <w:rFonts w:hint="default" w:ascii="Arial" w:hAnsi="Arial" w:eastAsia="Calibri" w:cs="Arial"/>
                <w:b/>
                <w:bCs/>
                <w:color w:val="FFFFFF"/>
                <w:sz w:val="24"/>
                <w:szCs w:val="24"/>
              </w:rPr>
              <w:t>Indication</w:t>
            </w:r>
          </w:p>
        </w:tc>
        <w:tc>
          <w:tcPr>
            <w:tcW w:w="3620" w:type="dxa"/>
            <w:shd w:val="clear" w:color="auto" w:fill="1F3864"/>
            <w:tcMar>
              <w:top w:w="90" w:type="dxa"/>
              <w:left w:w="130" w:type="dxa"/>
              <w:bottom w:w="90" w:type="dxa"/>
              <w:right w:w="130" w:type="dxa"/>
            </w:tcMar>
          </w:tcPr>
          <w:p w14:paraId="760473BA">
            <w:pPr>
              <w:spacing w:after="0" w:line="258" w:lineRule="auto"/>
              <w:rPr>
                <w:rFonts w:hint="default" w:ascii="Arial" w:hAnsi="Arial" w:cs="Arial"/>
                <w:sz w:val="24"/>
                <w:szCs w:val="24"/>
              </w:rPr>
            </w:pPr>
            <w:r>
              <w:rPr>
                <w:rFonts w:hint="default" w:ascii="Arial" w:hAnsi="Arial" w:eastAsia="Calibri" w:cs="Arial"/>
                <w:b/>
                <w:bCs/>
                <w:color w:val="FFFFFF"/>
                <w:sz w:val="24"/>
                <w:szCs w:val="24"/>
              </w:rPr>
              <w:t>Action available to officials</w:t>
            </w:r>
          </w:p>
        </w:tc>
      </w:tr>
      <w:tr w14:paraId="4974D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60" w:type="dxa"/>
            <w:tcBorders>
              <w:top w:val="single" w:color="C9D2E0" w:sz="2" w:space="0"/>
              <w:left w:val="single" w:color="C9D2E0" w:sz="2" w:space="0"/>
              <w:bottom w:val="single" w:color="C9D2E0" w:sz="2" w:space="0"/>
              <w:right w:val="single" w:color="C9D2E0" w:sz="2" w:space="0"/>
            </w:tcBorders>
            <w:tcMar>
              <w:top w:w="90" w:type="dxa"/>
              <w:left w:w="130" w:type="dxa"/>
              <w:bottom w:w="90" w:type="dxa"/>
              <w:right w:w="130" w:type="dxa"/>
            </w:tcMar>
          </w:tcPr>
          <w:p w14:paraId="63AE7560">
            <w:pPr>
              <w:spacing w:after="0" w:line="258" w:lineRule="auto"/>
              <w:rPr>
                <w:rFonts w:hint="default" w:ascii="Arial" w:hAnsi="Arial" w:cs="Arial"/>
                <w:sz w:val="24"/>
                <w:szCs w:val="24"/>
              </w:rPr>
            </w:pPr>
            <w:r>
              <w:rPr>
                <w:rFonts w:hint="default" w:ascii="Arial" w:hAnsi="Arial" w:eastAsia="Calibri" w:cs="Arial"/>
                <w:b/>
                <w:bCs/>
                <w:color w:val="15294A"/>
                <w:sz w:val="24"/>
                <w:szCs w:val="24"/>
              </w:rPr>
              <w:t>A constituency moves to High Alert</w:t>
            </w:r>
          </w:p>
        </w:tc>
        <w:tc>
          <w:tcPr>
            <w:tcW w:w="3180" w:type="dxa"/>
            <w:tcBorders>
              <w:top w:val="single" w:color="C9D2E0" w:sz="2" w:space="0"/>
              <w:left w:val="single" w:color="C9D2E0" w:sz="2" w:space="0"/>
              <w:bottom w:val="single" w:color="C9D2E0" w:sz="2" w:space="0"/>
              <w:right w:val="single" w:color="C9D2E0" w:sz="2" w:space="0"/>
            </w:tcBorders>
            <w:tcMar>
              <w:top w:w="90" w:type="dxa"/>
              <w:left w:w="130" w:type="dxa"/>
              <w:bottom w:w="90" w:type="dxa"/>
              <w:right w:w="130" w:type="dxa"/>
            </w:tcMar>
          </w:tcPr>
          <w:p w14:paraId="2B2312BE">
            <w:pPr>
              <w:spacing w:after="0" w:line="258" w:lineRule="auto"/>
              <w:rPr>
                <w:rFonts w:hint="default" w:ascii="Arial" w:hAnsi="Arial" w:cs="Arial"/>
                <w:sz w:val="24"/>
                <w:szCs w:val="24"/>
              </w:rPr>
            </w:pPr>
            <w:r>
              <w:rPr>
                <w:rFonts w:hint="default" w:ascii="Arial" w:hAnsi="Arial" w:eastAsia="Calibri" w:cs="Arial"/>
                <w:b w:val="0"/>
                <w:bCs w:val="0"/>
                <w:color w:val="2B2B2B"/>
                <w:sz w:val="24"/>
                <w:szCs w:val="24"/>
              </w:rPr>
              <w:t>Complaints are accelerating against that seat’s own baseline</w:t>
            </w:r>
          </w:p>
        </w:tc>
        <w:tc>
          <w:tcPr>
            <w:tcW w:w="3620" w:type="dxa"/>
            <w:tcBorders>
              <w:top w:val="single" w:color="C9D2E0" w:sz="2" w:space="0"/>
              <w:left w:val="single" w:color="C9D2E0" w:sz="2" w:space="0"/>
              <w:bottom w:val="single" w:color="C9D2E0" w:sz="2" w:space="0"/>
              <w:right w:val="single" w:color="C9D2E0" w:sz="2" w:space="0"/>
            </w:tcBorders>
            <w:tcMar>
              <w:top w:w="90" w:type="dxa"/>
              <w:left w:w="130" w:type="dxa"/>
              <w:bottom w:w="90" w:type="dxa"/>
              <w:right w:w="130" w:type="dxa"/>
            </w:tcMar>
          </w:tcPr>
          <w:p w14:paraId="1D7617B3">
            <w:pPr>
              <w:spacing w:after="0" w:line="258" w:lineRule="auto"/>
              <w:rPr>
                <w:rFonts w:hint="default" w:ascii="Arial" w:hAnsi="Arial" w:cs="Arial"/>
                <w:sz w:val="24"/>
                <w:szCs w:val="24"/>
              </w:rPr>
            </w:pPr>
            <w:r>
              <w:rPr>
                <w:rFonts w:hint="default" w:ascii="Arial" w:hAnsi="Arial" w:eastAsia="Calibri" w:cs="Arial"/>
                <w:b w:val="0"/>
                <w:bCs w:val="0"/>
                <w:color w:val="2B2B2B"/>
                <w:sz w:val="24"/>
                <w:szCs w:val="24"/>
              </w:rPr>
              <w:t>District administration can examine the underlying issues while the matter is still a complaint</w:t>
            </w:r>
          </w:p>
        </w:tc>
      </w:tr>
      <w:tr w14:paraId="374E2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60" w:type="dxa"/>
            <w:tcBorders>
              <w:top w:val="single" w:color="C9D2E0" w:sz="2" w:space="0"/>
              <w:left w:val="single" w:color="C9D2E0" w:sz="2" w:space="0"/>
              <w:bottom w:val="single" w:color="C9D2E0" w:sz="2" w:space="0"/>
              <w:right w:val="single" w:color="C9D2E0" w:sz="2" w:space="0"/>
            </w:tcBorders>
            <w:shd w:val="clear" w:color="auto" w:fill="F2F5F9"/>
            <w:tcMar>
              <w:top w:w="90" w:type="dxa"/>
              <w:left w:w="130" w:type="dxa"/>
              <w:bottom w:w="90" w:type="dxa"/>
              <w:right w:w="130" w:type="dxa"/>
            </w:tcMar>
          </w:tcPr>
          <w:p w14:paraId="660E0ED7">
            <w:pPr>
              <w:spacing w:after="0" w:line="258" w:lineRule="auto"/>
              <w:rPr>
                <w:rFonts w:hint="default" w:ascii="Arial" w:hAnsi="Arial" w:cs="Arial"/>
                <w:sz w:val="24"/>
                <w:szCs w:val="24"/>
              </w:rPr>
            </w:pPr>
            <w:r>
              <w:rPr>
                <w:rFonts w:hint="default" w:ascii="Arial" w:hAnsi="Arial" w:eastAsia="Calibri" w:cs="Arial"/>
                <w:b/>
                <w:bCs/>
                <w:color w:val="15294A"/>
                <w:sz w:val="24"/>
                <w:szCs w:val="24"/>
              </w:rPr>
              <w:t>Near-identical posts clustered within minutes</w:t>
            </w:r>
          </w:p>
        </w:tc>
        <w:tc>
          <w:tcPr>
            <w:tcW w:w="3180" w:type="dxa"/>
            <w:tcBorders>
              <w:top w:val="single" w:color="C9D2E0" w:sz="2" w:space="0"/>
              <w:left w:val="single" w:color="C9D2E0" w:sz="2" w:space="0"/>
              <w:bottom w:val="single" w:color="C9D2E0" w:sz="2" w:space="0"/>
              <w:right w:val="single" w:color="C9D2E0" w:sz="2" w:space="0"/>
            </w:tcBorders>
            <w:shd w:val="clear" w:color="auto" w:fill="F2F5F9"/>
            <w:tcMar>
              <w:top w:w="90" w:type="dxa"/>
              <w:left w:w="130" w:type="dxa"/>
              <w:bottom w:w="90" w:type="dxa"/>
              <w:right w:w="130" w:type="dxa"/>
            </w:tcMar>
          </w:tcPr>
          <w:p w14:paraId="1A936507">
            <w:pPr>
              <w:spacing w:after="0" w:line="258" w:lineRule="auto"/>
              <w:rPr>
                <w:rFonts w:hint="default" w:ascii="Arial" w:hAnsi="Arial" w:cs="Arial"/>
                <w:sz w:val="24"/>
                <w:szCs w:val="24"/>
              </w:rPr>
            </w:pPr>
            <w:r>
              <w:rPr>
                <w:rFonts w:hint="default" w:ascii="Arial" w:hAnsi="Arial" w:eastAsia="Calibri" w:cs="Arial"/>
                <w:b w:val="0"/>
                <w:bCs w:val="0"/>
                <w:color w:val="2B2B2B"/>
                <w:sz w:val="24"/>
                <w:szCs w:val="24"/>
              </w:rPr>
              <w:t>A pattern consistent with an organised campaign rather than organic sentiment</w:t>
            </w:r>
          </w:p>
        </w:tc>
        <w:tc>
          <w:tcPr>
            <w:tcW w:w="3620" w:type="dxa"/>
            <w:tcBorders>
              <w:top w:val="single" w:color="C9D2E0" w:sz="2" w:space="0"/>
              <w:left w:val="single" w:color="C9D2E0" w:sz="2" w:space="0"/>
              <w:bottom w:val="single" w:color="C9D2E0" w:sz="2" w:space="0"/>
              <w:right w:val="single" w:color="C9D2E0" w:sz="2" w:space="0"/>
            </w:tcBorders>
            <w:shd w:val="clear" w:color="auto" w:fill="F2F5F9"/>
            <w:tcMar>
              <w:top w:w="90" w:type="dxa"/>
              <w:left w:w="130" w:type="dxa"/>
              <w:bottom w:w="90" w:type="dxa"/>
              <w:right w:w="130" w:type="dxa"/>
            </w:tcMar>
          </w:tcPr>
          <w:p w14:paraId="249D460F">
            <w:pPr>
              <w:spacing w:after="0" w:line="258" w:lineRule="auto"/>
              <w:rPr>
                <w:rFonts w:hint="default" w:ascii="Arial" w:hAnsi="Arial" w:cs="Arial"/>
                <w:sz w:val="24"/>
                <w:szCs w:val="24"/>
              </w:rPr>
            </w:pPr>
            <w:r>
              <w:rPr>
                <w:rFonts w:hint="default" w:ascii="Arial" w:hAnsi="Arial" w:eastAsia="Calibri" w:cs="Arial"/>
                <w:b w:val="0"/>
                <w:bCs w:val="0"/>
                <w:color w:val="2B2B2B"/>
                <w:sz w:val="24"/>
                <w:szCs w:val="24"/>
              </w:rPr>
              <w:t>Response can be calibrated accordingly, with the pattern and its evidence documented</w:t>
            </w:r>
          </w:p>
        </w:tc>
      </w:tr>
      <w:tr w14:paraId="13D5E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60" w:type="dxa"/>
            <w:tcBorders>
              <w:top w:val="single" w:color="C9D2E0" w:sz="2" w:space="0"/>
              <w:left w:val="single" w:color="C9D2E0" w:sz="2" w:space="0"/>
              <w:bottom w:val="single" w:color="C9D2E0" w:sz="2" w:space="0"/>
              <w:right w:val="single" w:color="C9D2E0" w:sz="2" w:space="0"/>
            </w:tcBorders>
            <w:tcMar>
              <w:top w:w="90" w:type="dxa"/>
              <w:left w:w="130" w:type="dxa"/>
              <w:bottom w:w="90" w:type="dxa"/>
              <w:right w:w="130" w:type="dxa"/>
            </w:tcMar>
          </w:tcPr>
          <w:p w14:paraId="5C162B0A">
            <w:pPr>
              <w:spacing w:after="0" w:line="258" w:lineRule="auto"/>
              <w:rPr>
                <w:rFonts w:hint="default" w:ascii="Arial" w:hAnsi="Arial" w:cs="Arial"/>
                <w:sz w:val="24"/>
                <w:szCs w:val="24"/>
              </w:rPr>
            </w:pPr>
            <w:r>
              <w:rPr>
                <w:rFonts w:hint="default" w:ascii="Arial" w:hAnsi="Arial" w:eastAsia="Calibri" w:cs="Arial"/>
                <w:b/>
                <w:bCs/>
                <w:color w:val="15294A"/>
                <w:sz w:val="24"/>
                <w:szCs w:val="24"/>
              </w:rPr>
              <w:t>A constituency declining three weeks running</w:t>
            </w:r>
          </w:p>
        </w:tc>
        <w:tc>
          <w:tcPr>
            <w:tcW w:w="3180" w:type="dxa"/>
            <w:tcBorders>
              <w:top w:val="single" w:color="C9D2E0" w:sz="2" w:space="0"/>
              <w:left w:val="single" w:color="C9D2E0" w:sz="2" w:space="0"/>
              <w:bottom w:val="single" w:color="C9D2E0" w:sz="2" w:space="0"/>
              <w:right w:val="single" w:color="C9D2E0" w:sz="2" w:space="0"/>
            </w:tcBorders>
            <w:tcMar>
              <w:top w:w="90" w:type="dxa"/>
              <w:left w:w="130" w:type="dxa"/>
              <w:bottom w:w="90" w:type="dxa"/>
              <w:right w:w="130" w:type="dxa"/>
            </w:tcMar>
          </w:tcPr>
          <w:p w14:paraId="541B46C7">
            <w:pPr>
              <w:spacing w:after="0" w:line="258" w:lineRule="auto"/>
              <w:rPr>
                <w:rFonts w:hint="default" w:ascii="Arial" w:hAnsi="Arial" w:cs="Arial"/>
                <w:sz w:val="24"/>
                <w:szCs w:val="24"/>
              </w:rPr>
            </w:pPr>
            <w:r>
              <w:rPr>
                <w:rFonts w:hint="default" w:ascii="Arial" w:hAnsi="Arial" w:eastAsia="Calibri" w:cs="Arial"/>
                <w:b w:val="0"/>
                <w:bCs w:val="0"/>
                <w:color w:val="2B2B2B"/>
                <w:sz w:val="24"/>
                <w:szCs w:val="24"/>
              </w:rPr>
              <w:t>A sustained local issue not yet reflected in internal reporting</w:t>
            </w:r>
          </w:p>
        </w:tc>
        <w:tc>
          <w:tcPr>
            <w:tcW w:w="3620" w:type="dxa"/>
            <w:tcBorders>
              <w:top w:val="single" w:color="C9D2E0" w:sz="2" w:space="0"/>
              <w:left w:val="single" w:color="C9D2E0" w:sz="2" w:space="0"/>
              <w:bottom w:val="single" w:color="C9D2E0" w:sz="2" w:space="0"/>
              <w:right w:val="single" w:color="C9D2E0" w:sz="2" w:space="0"/>
            </w:tcBorders>
            <w:tcMar>
              <w:top w:w="90" w:type="dxa"/>
              <w:left w:w="130" w:type="dxa"/>
              <w:bottom w:w="90" w:type="dxa"/>
              <w:right w:w="130" w:type="dxa"/>
            </w:tcMar>
          </w:tcPr>
          <w:p w14:paraId="2F63F9B9">
            <w:pPr>
              <w:spacing w:after="0" w:line="258" w:lineRule="auto"/>
              <w:rPr>
                <w:rFonts w:hint="default" w:ascii="Arial" w:hAnsi="Arial" w:cs="Arial"/>
                <w:sz w:val="24"/>
                <w:szCs w:val="24"/>
              </w:rPr>
            </w:pPr>
            <w:r>
              <w:rPr>
                <w:rFonts w:hint="default" w:ascii="Arial" w:hAnsi="Arial" w:eastAsia="Calibri" w:cs="Arial"/>
                <w:b w:val="0"/>
                <w:bCs w:val="0"/>
                <w:color w:val="2B2B2B"/>
                <w:sz w:val="24"/>
                <w:szCs w:val="24"/>
              </w:rPr>
              <w:t>The seat can be reviewed with the member and the department concerned</w:t>
            </w:r>
          </w:p>
        </w:tc>
      </w:tr>
      <w:tr w14:paraId="6F565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60" w:type="dxa"/>
            <w:tcBorders>
              <w:top w:val="single" w:color="C9D2E0" w:sz="2" w:space="0"/>
              <w:left w:val="single" w:color="C9D2E0" w:sz="2" w:space="0"/>
              <w:bottom w:val="single" w:color="C9D2E0" w:sz="2" w:space="0"/>
              <w:right w:val="single" w:color="C9D2E0" w:sz="2" w:space="0"/>
            </w:tcBorders>
            <w:shd w:val="clear" w:color="auto" w:fill="F2F5F9"/>
            <w:tcMar>
              <w:top w:w="90" w:type="dxa"/>
              <w:left w:w="130" w:type="dxa"/>
              <w:bottom w:w="90" w:type="dxa"/>
              <w:right w:w="130" w:type="dxa"/>
            </w:tcMar>
          </w:tcPr>
          <w:p w14:paraId="1F7897D0">
            <w:pPr>
              <w:spacing w:after="0" w:line="258" w:lineRule="auto"/>
              <w:rPr>
                <w:rFonts w:hint="default" w:ascii="Arial" w:hAnsi="Arial" w:cs="Arial"/>
                <w:sz w:val="24"/>
                <w:szCs w:val="24"/>
              </w:rPr>
            </w:pPr>
            <w:r>
              <w:rPr>
                <w:rFonts w:hint="default" w:ascii="Arial" w:hAnsi="Arial" w:eastAsia="Calibri" w:cs="Arial"/>
                <w:b/>
                <w:bCs/>
                <w:color w:val="15294A"/>
                <w:sz w:val="24"/>
                <w:szCs w:val="24"/>
              </w:rPr>
              <w:t>District sentiment rising after an event</w:t>
            </w:r>
          </w:p>
        </w:tc>
        <w:tc>
          <w:tcPr>
            <w:tcW w:w="3180" w:type="dxa"/>
            <w:tcBorders>
              <w:top w:val="single" w:color="C9D2E0" w:sz="2" w:space="0"/>
              <w:left w:val="single" w:color="C9D2E0" w:sz="2" w:space="0"/>
              <w:bottom w:val="single" w:color="C9D2E0" w:sz="2" w:space="0"/>
              <w:right w:val="single" w:color="C9D2E0" w:sz="2" w:space="0"/>
            </w:tcBorders>
            <w:shd w:val="clear" w:color="auto" w:fill="F2F5F9"/>
            <w:tcMar>
              <w:top w:w="90" w:type="dxa"/>
              <w:left w:w="130" w:type="dxa"/>
              <w:bottom w:w="90" w:type="dxa"/>
              <w:right w:w="130" w:type="dxa"/>
            </w:tcMar>
          </w:tcPr>
          <w:p w14:paraId="77CA1C2D">
            <w:pPr>
              <w:spacing w:after="0" w:line="258" w:lineRule="auto"/>
              <w:rPr>
                <w:rFonts w:hint="default" w:ascii="Arial" w:hAnsi="Arial" w:cs="Arial"/>
                <w:sz w:val="24"/>
                <w:szCs w:val="24"/>
              </w:rPr>
            </w:pPr>
            <w:r>
              <w:rPr>
                <w:rFonts w:hint="default" w:ascii="Arial" w:hAnsi="Arial" w:eastAsia="Calibri" w:cs="Arial"/>
                <w:b w:val="0"/>
                <w:bCs w:val="0"/>
                <w:color w:val="2B2B2B"/>
                <w:sz w:val="24"/>
                <w:szCs w:val="24"/>
              </w:rPr>
              <w:t>The communication approach registered with that audience</w:t>
            </w:r>
          </w:p>
        </w:tc>
        <w:tc>
          <w:tcPr>
            <w:tcW w:w="3620" w:type="dxa"/>
            <w:tcBorders>
              <w:top w:val="single" w:color="C9D2E0" w:sz="2" w:space="0"/>
              <w:left w:val="single" w:color="C9D2E0" w:sz="2" w:space="0"/>
              <w:bottom w:val="single" w:color="C9D2E0" w:sz="2" w:space="0"/>
              <w:right w:val="single" w:color="C9D2E0" w:sz="2" w:space="0"/>
            </w:tcBorders>
            <w:shd w:val="clear" w:color="auto" w:fill="F2F5F9"/>
            <w:tcMar>
              <w:top w:w="90" w:type="dxa"/>
              <w:left w:w="130" w:type="dxa"/>
              <w:bottom w:w="90" w:type="dxa"/>
              <w:right w:w="130" w:type="dxa"/>
            </w:tcMar>
          </w:tcPr>
          <w:p w14:paraId="134D7199">
            <w:pPr>
              <w:spacing w:after="0" w:line="258" w:lineRule="auto"/>
              <w:rPr>
                <w:rFonts w:hint="default" w:ascii="Arial" w:hAnsi="Arial" w:cs="Arial"/>
                <w:sz w:val="24"/>
                <w:szCs w:val="24"/>
              </w:rPr>
            </w:pPr>
            <w:r>
              <w:rPr>
                <w:rFonts w:hint="default" w:ascii="Arial" w:hAnsi="Arial" w:eastAsia="Calibri" w:cs="Arial"/>
                <w:b w:val="0"/>
                <w:bCs w:val="0"/>
                <w:color w:val="2B2B2B"/>
                <w:sz w:val="24"/>
                <w:szCs w:val="24"/>
              </w:rPr>
              <w:t>The approach can be assessed for use in comparable districts</w:t>
            </w:r>
          </w:p>
        </w:tc>
      </w:tr>
    </w:tbl>
    <w:p w14:paraId="79B62AB8">
      <w:pPr>
        <w:keepNext/>
        <w:spacing w:before="165" w:after="75"/>
        <w:rPr>
          <w:rFonts w:hint="default" w:ascii="Arial" w:hAnsi="Arial" w:eastAsia="Calibri" w:cs="Arial"/>
          <w:b/>
          <w:bCs/>
          <w:color w:val="15294A"/>
          <w:sz w:val="24"/>
          <w:szCs w:val="24"/>
        </w:rPr>
      </w:pPr>
    </w:p>
    <w:p w14:paraId="30D4D0FA">
      <w:pPr>
        <w:keepNext/>
        <w:spacing w:before="165" w:after="75"/>
        <w:rPr>
          <w:rFonts w:hint="default" w:ascii="Arial" w:hAnsi="Arial" w:cs="Arial"/>
          <w:sz w:val="24"/>
          <w:szCs w:val="24"/>
        </w:rPr>
      </w:pPr>
      <w:r>
        <w:rPr>
          <w:rFonts w:hint="default" w:ascii="Arial" w:hAnsi="Arial" w:eastAsia="Calibri" w:cs="Arial"/>
          <w:b/>
          <w:bCs/>
          <w:color w:val="15294A"/>
          <w:sz w:val="24"/>
          <w:szCs w:val="24"/>
        </w:rPr>
        <w:t>Enterprise capability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00B4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9D2E0" w:sz="2" w:space="0"/>
              <w:left w:val="single" w:color="C9D2E0" w:sz="2" w:space="0"/>
              <w:bottom w:val="single" w:color="C9D2E0" w:sz="2" w:space="0"/>
              <w:right w:val="single" w:color="C9D2E0" w:sz="2" w:space="0"/>
            </w:tcBorders>
            <w:tcMar>
              <w:top w:w="70" w:type="dxa"/>
              <w:left w:w="130" w:type="dxa"/>
              <w:bottom w:w="70" w:type="dxa"/>
              <w:right w:w="130" w:type="dxa"/>
            </w:tcMar>
          </w:tcPr>
          <w:p w14:paraId="0D3E5317">
            <w:pPr>
              <w:spacing w:after="0" w:line="258" w:lineRule="auto"/>
              <w:rPr>
                <w:rFonts w:hint="default" w:ascii="Arial" w:hAnsi="Arial" w:cs="Arial"/>
                <w:sz w:val="24"/>
                <w:szCs w:val="24"/>
              </w:rPr>
            </w:pPr>
            <w:r>
              <w:rPr>
                <w:rFonts w:hint="default" w:ascii="Arial" w:hAnsi="Arial" w:eastAsia="Calibri" w:cs="Arial"/>
                <w:b/>
                <w:bCs/>
                <w:color w:val="15294A"/>
                <w:sz w:val="24"/>
                <w:szCs w:val="24"/>
              </w:rPr>
              <w:t>Statewide deployment</w:t>
            </w:r>
            <w:r>
              <w:rPr>
                <w:rFonts w:hint="default" w:ascii="Arial" w:hAnsi="Arial" w:eastAsia="Calibri" w:cs="Arial"/>
                <w:color w:val="2B2B2B"/>
                <w:sz w:val="24"/>
                <w:szCs w:val="24"/>
              </w:rPr>
              <w:t xml:space="preserve"> — all 90 constituencies and 33 districts under a single system.</w:t>
            </w:r>
          </w:p>
        </w:tc>
        <w:tc>
          <w:tcPr>
            <w:tcW w:w="4680" w:type="dxa"/>
            <w:tcBorders>
              <w:top w:val="single" w:color="C9D2E0" w:sz="2" w:space="0"/>
              <w:left w:val="single" w:color="C9D2E0" w:sz="2" w:space="0"/>
              <w:bottom w:val="single" w:color="C9D2E0" w:sz="2" w:space="0"/>
              <w:right w:val="single" w:color="C9D2E0" w:sz="2" w:space="0"/>
            </w:tcBorders>
            <w:tcMar>
              <w:top w:w="70" w:type="dxa"/>
              <w:left w:w="130" w:type="dxa"/>
              <w:bottom w:w="70" w:type="dxa"/>
              <w:right w:w="130" w:type="dxa"/>
            </w:tcMar>
          </w:tcPr>
          <w:p w14:paraId="2DECF2F6">
            <w:pPr>
              <w:spacing w:after="0" w:line="258" w:lineRule="auto"/>
              <w:rPr>
                <w:rFonts w:hint="default" w:ascii="Arial" w:hAnsi="Arial" w:cs="Arial"/>
                <w:sz w:val="24"/>
                <w:szCs w:val="24"/>
              </w:rPr>
            </w:pPr>
            <w:r>
              <w:rPr>
                <w:rFonts w:hint="default" w:ascii="Arial" w:hAnsi="Arial" w:eastAsia="Calibri" w:cs="Arial"/>
                <w:b/>
                <w:bCs/>
                <w:color w:val="15294A"/>
                <w:sz w:val="24"/>
                <w:szCs w:val="24"/>
              </w:rPr>
              <w:t>Role-based access</w:t>
            </w:r>
            <w:r>
              <w:rPr>
                <w:rFonts w:hint="default" w:ascii="Arial" w:hAnsi="Arial" w:eastAsia="Calibri" w:cs="Arial"/>
                <w:color w:val="2B2B2B"/>
                <w:sz w:val="24"/>
                <w:szCs w:val="24"/>
              </w:rPr>
              <w:t xml:space="preserve"> — the CMO, ministers, members and district administration, each scoped to their own remit.</w:t>
            </w:r>
          </w:p>
        </w:tc>
      </w:tr>
      <w:tr w14:paraId="42452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9D2E0" w:sz="2" w:space="0"/>
              <w:left w:val="single" w:color="C9D2E0" w:sz="2" w:space="0"/>
              <w:bottom w:val="single" w:color="C9D2E0" w:sz="2" w:space="0"/>
              <w:right w:val="single" w:color="C9D2E0" w:sz="2" w:space="0"/>
            </w:tcBorders>
            <w:shd w:val="clear" w:color="auto" w:fill="F2F5F9"/>
            <w:tcMar>
              <w:top w:w="70" w:type="dxa"/>
              <w:left w:w="130" w:type="dxa"/>
              <w:bottom w:w="70" w:type="dxa"/>
              <w:right w:w="130" w:type="dxa"/>
            </w:tcMar>
          </w:tcPr>
          <w:p w14:paraId="3FBC0856">
            <w:pPr>
              <w:spacing w:after="0" w:line="258" w:lineRule="auto"/>
              <w:rPr>
                <w:rFonts w:hint="default" w:ascii="Arial" w:hAnsi="Arial" w:cs="Arial"/>
                <w:sz w:val="24"/>
                <w:szCs w:val="24"/>
              </w:rPr>
            </w:pPr>
            <w:r>
              <w:rPr>
                <w:rFonts w:hint="default" w:ascii="Arial" w:hAnsi="Arial" w:eastAsia="Calibri" w:cs="Arial"/>
                <w:b/>
                <w:bCs/>
                <w:color w:val="15294A"/>
                <w:sz w:val="24"/>
                <w:szCs w:val="24"/>
              </w:rPr>
              <w:t>Constituency and district intelligence</w:t>
            </w:r>
            <w:r>
              <w:rPr>
                <w:rFonts w:hint="default" w:ascii="Arial" w:hAnsi="Arial" w:eastAsia="Calibri" w:cs="Arial"/>
                <w:color w:val="2B2B2B"/>
                <w:sz w:val="24"/>
                <w:szCs w:val="24"/>
              </w:rPr>
              <w:t xml:space="preserve"> — analysis resolved to seat, district, town and ward level.</w:t>
            </w:r>
          </w:p>
        </w:tc>
        <w:tc>
          <w:tcPr>
            <w:tcW w:w="4680" w:type="dxa"/>
            <w:tcBorders>
              <w:top w:val="single" w:color="C9D2E0" w:sz="2" w:space="0"/>
              <w:left w:val="single" w:color="C9D2E0" w:sz="2" w:space="0"/>
              <w:bottom w:val="single" w:color="C9D2E0" w:sz="2" w:space="0"/>
              <w:right w:val="single" w:color="C9D2E0" w:sz="2" w:space="0"/>
            </w:tcBorders>
            <w:shd w:val="clear" w:color="auto" w:fill="F2F5F9"/>
            <w:tcMar>
              <w:top w:w="70" w:type="dxa"/>
              <w:left w:w="130" w:type="dxa"/>
              <w:bottom w:w="70" w:type="dxa"/>
              <w:right w:w="130" w:type="dxa"/>
            </w:tcMar>
          </w:tcPr>
          <w:p w14:paraId="70D06262">
            <w:pPr>
              <w:spacing w:after="0" w:line="258" w:lineRule="auto"/>
              <w:rPr>
                <w:rFonts w:hint="default" w:ascii="Arial" w:hAnsi="Arial" w:cs="Arial"/>
                <w:sz w:val="24"/>
                <w:szCs w:val="24"/>
              </w:rPr>
            </w:pPr>
            <w:r>
              <w:rPr>
                <w:rFonts w:hint="default" w:ascii="Arial" w:hAnsi="Arial" w:eastAsia="Calibri" w:cs="Arial"/>
                <w:b/>
                <w:bCs/>
                <w:color w:val="15294A"/>
                <w:sz w:val="24"/>
                <w:szCs w:val="24"/>
              </w:rPr>
              <w:t>Dashboards and alerts</w:t>
            </w:r>
            <w:r>
              <w:rPr>
                <w:rFonts w:hint="default" w:ascii="Arial" w:hAnsi="Arial" w:eastAsia="Calibri" w:cs="Arial"/>
                <w:color w:val="2B2B2B"/>
                <w:sz w:val="24"/>
                <w:szCs w:val="24"/>
              </w:rPr>
              <w:t xml:space="preserve"> — live dashboards, with alert thresholds configurable per platform and category.</w:t>
            </w:r>
          </w:p>
        </w:tc>
      </w:tr>
      <w:tr w14:paraId="0877D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9D2E0" w:sz="2" w:space="0"/>
              <w:left w:val="single" w:color="C9D2E0" w:sz="2" w:space="0"/>
              <w:bottom w:val="single" w:color="C9D2E0" w:sz="2" w:space="0"/>
              <w:right w:val="single" w:color="C9D2E0" w:sz="2" w:space="0"/>
            </w:tcBorders>
            <w:tcMar>
              <w:top w:w="70" w:type="dxa"/>
              <w:left w:w="130" w:type="dxa"/>
              <w:bottom w:w="70" w:type="dxa"/>
              <w:right w:w="130" w:type="dxa"/>
            </w:tcMar>
          </w:tcPr>
          <w:p w14:paraId="0588616C">
            <w:pPr>
              <w:spacing w:after="0" w:line="258" w:lineRule="auto"/>
              <w:rPr>
                <w:rFonts w:hint="default" w:ascii="Arial" w:hAnsi="Arial" w:cs="Arial"/>
                <w:sz w:val="24"/>
                <w:szCs w:val="24"/>
              </w:rPr>
            </w:pPr>
            <w:r>
              <w:rPr>
                <w:rFonts w:hint="default" w:ascii="Arial" w:hAnsi="Arial" w:eastAsia="Calibri" w:cs="Arial"/>
                <w:b/>
                <w:bCs/>
                <w:color w:val="15294A"/>
                <w:sz w:val="24"/>
                <w:szCs w:val="24"/>
              </w:rPr>
              <w:t>Continuous monitoring</w:t>
            </w:r>
            <w:r>
              <w:rPr>
                <w:rFonts w:hint="default" w:ascii="Arial" w:hAnsi="Arial" w:eastAsia="Calibri" w:cs="Arial"/>
                <w:color w:val="2B2B2B"/>
                <w:sz w:val="24"/>
                <w:szCs w:val="24"/>
              </w:rPr>
              <w:t xml:space="preserve"> — collection running 24x7 across six platforms and over 100 news feeds, in three languages.</w:t>
            </w:r>
          </w:p>
        </w:tc>
        <w:tc>
          <w:tcPr>
            <w:tcW w:w="4680" w:type="dxa"/>
            <w:tcBorders>
              <w:top w:val="single" w:color="C9D2E0" w:sz="2" w:space="0"/>
              <w:left w:val="single" w:color="C9D2E0" w:sz="2" w:space="0"/>
              <w:bottom w:val="single" w:color="C9D2E0" w:sz="2" w:space="0"/>
              <w:right w:val="single" w:color="C9D2E0" w:sz="2" w:space="0"/>
            </w:tcBorders>
            <w:tcMar>
              <w:top w:w="70" w:type="dxa"/>
              <w:left w:w="130" w:type="dxa"/>
              <w:bottom w:w="70" w:type="dxa"/>
              <w:right w:w="130" w:type="dxa"/>
            </w:tcMar>
          </w:tcPr>
          <w:p w14:paraId="60D0A8E5">
            <w:pPr>
              <w:spacing w:after="0" w:line="258" w:lineRule="auto"/>
              <w:rPr>
                <w:rFonts w:hint="default" w:ascii="Arial" w:hAnsi="Arial" w:cs="Arial"/>
                <w:sz w:val="24"/>
                <w:szCs w:val="24"/>
              </w:rPr>
            </w:pPr>
            <w:r>
              <w:rPr>
                <w:rFonts w:hint="default" w:ascii="Arial" w:hAnsi="Arial" w:eastAsia="Calibri" w:cs="Arial"/>
                <w:b/>
                <w:bCs/>
                <w:color w:val="15294A"/>
                <w:sz w:val="24"/>
                <w:szCs w:val="24"/>
              </w:rPr>
              <w:t>Scalability</w:t>
            </w:r>
            <w:r>
              <w:rPr>
                <w:rFonts w:hint="default" w:ascii="Arial" w:hAnsi="Arial" w:eastAsia="Calibri" w:cs="Arial"/>
                <w:color w:val="2B2B2B"/>
                <w:sz w:val="24"/>
                <w:szCs w:val="24"/>
              </w:rPr>
              <w:t xml:space="preserve"> — additional sources, keywords, leaders and users added without redeployment.</w:t>
            </w:r>
          </w:p>
        </w:tc>
      </w:tr>
      <w:tr w14:paraId="0FA49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9D2E0" w:sz="2" w:space="0"/>
              <w:left w:val="single" w:color="C9D2E0" w:sz="2" w:space="0"/>
              <w:bottom w:val="single" w:color="C9D2E0" w:sz="2" w:space="0"/>
              <w:right w:val="single" w:color="C9D2E0" w:sz="2" w:space="0"/>
            </w:tcBorders>
            <w:shd w:val="clear" w:color="auto" w:fill="F2F5F9"/>
            <w:tcMar>
              <w:top w:w="70" w:type="dxa"/>
              <w:left w:w="130" w:type="dxa"/>
              <w:bottom w:w="70" w:type="dxa"/>
              <w:right w:w="130" w:type="dxa"/>
            </w:tcMar>
          </w:tcPr>
          <w:p w14:paraId="506E421E">
            <w:pPr>
              <w:spacing w:after="0" w:line="258" w:lineRule="auto"/>
              <w:rPr>
                <w:rFonts w:hint="default" w:ascii="Arial" w:hAnsi="Arial" w:cs="Arial"/>
                <w:sz w:val="24"/>
                <w:szCs w:val="24"/>
              </w:rPr>
            </w:pPr>
            <w:r>
              <w:rPr>
                <w:rFonts w:hint="default" w:ascii="Arial" w:hAnsi="Arial" w:eastAsia="Calibri" w:cs="Arial"/>
                <w:b/>
                <w:bCs/>
                <w:color w:val="15294A"/>
                <w:sz w:val="24"/>
                <w:szCs w:val="24"/>
              </w:rPr>
              <w:t>Reporting</w:t>
            </w:r>
            <w:r>
              <w:rPr>
                <w:rFonts w:hint="default" w:ascii="Arial" w:hAnsi="Arial" w:eastAsia="Calibri" w:cs="Arial"/>
                <w:color w:val="2B2B2B"/>
                <w:sz w:val="24"/>
                <w:szCs w:val="24"/>
              </w:rPr>
              <w:t xml:space="preserve"> — daily, weekly, constituency and custom reports for every level of the administration.</w:t>
            </w:r>
          </w:p>
        </w:tc>
        <w:tc>
          <w:tcPr>
            <w:tcW w:w="4680" w:type="dxa"/>
            <w:tcBorders>
              <w:top w:val="single" w:color="C9D2E0" w:sz="2" w:space="0"/>
              <w:left w:val="single" w:color="C9D2E0" w:sz="2" w:space="0"/>
              <w:bottom w:val="single" w:color="C9D2E0" w:sz="2" w:space="0"/>
              <w:right w:val="single" w:color="C9D2E0" w:sz="2" w:space="0"/>
            </w:tcBorders>
            <w:shd w:val="clear" w:color="auto" w:fill="F2F5F9"/>
            <w:tcMar>
              <w:top w:w="70" w:type="dxa"/>
              <w:left w:w="130" w:type="dxa"/>
              <w:bottom w:w="70" w:type="dxa"/>
              <w:right w:w="130" w:type="dxa"/>
            </w:tcMar>
          </w:tcPr>
          <w:p w14:paraId="02274C5C">
            <w:pPr>
              <w:spacing w:after="0" w:line="258" w:lineRule="auto"/>
              <w:rPr>
                <w:rFonts w:hint="default" w:ascii="Arial" w:hAnsi="Arial" w:cs="Arial"/>
                <w:sz w:val="24"/>
                <w:szCs w:val="24"/>
              </w:rPr>
            </w:pPr>
            <w:r>
              <w:rPr>
                <w:rFonts w:hint="default" w:ascii="Arial" w:hAnsi="Arial" w:eastAsia="Calibri" w:cs="Arial"/>
                <w:b/>
                <w:bCs/>
                <w:color w:val="15294A"/>
                <w:sz w:val="24"/>
                <w:szCs w:val="24"/>
              </w:rPr>
              <w:t>Evidence and audit</w:t>
            </w:r>
            <w:r>
              <w:rPr>
                <w:rFonts w:hint="default" w:ascii="Arial" w:hAnsi="Arial" w:eastAsia="Calibri" w:cs="Arial"/>
                <w:color w:val="2B2B2B"/>
                <w:sz w:val="24"/>
                <w:szCs w:val="24"/>
              </w:rPr>
              <w:t xml:space="preserve"> — every figure traceable to its source content, and every access and action logged.</w:t>
            </w:r>
          </w:p>
        </w:tc>
      </w:tr>
    </w:tbl>
    <w:p w14:paraId="3FC54780">
      <w:pPr>
        <w:pBdr>
          <w:top w:val="single" w:color="1F3864" w:sz="8" w:space="8"/>
        </w:pBdr>
        <w:spacing w:before="150"/>
        <w:rPr>
          <w:rFonts w:hint="default" w:ascii="Arial" w:hAnsi="Arial" w:cs="Arial"/>
          <w:sz w:val="24"/>
          <w:szCs w:val="24"/>
        </w:rPr>
      </w:pPr>
      <w:r>
        <w:rPr>
          <w:rFonts w:hint="default" w:ascii="Arial" w:hAnsi="Arial" w:eastAsia="Calibri" w:cs="Arial"/>
          <w:color w:val="15294A"/>
          <w:sz w:val="24"/>
          <w:szCs w:val="24"/>
        </w:rPr>
        <w:t>SAGA provides an early, evidence-based view of emerging public sentiment, issues and narratives across Chhattisgarh.</w:t>
      </w:r>
    </w:p>
    <w:sectPr>
      <w:pgSz w:w="11906" w:h="16838"/>
      <w:pgMar w:top="1008" w:right="1367" w:bottom="720" w:left="136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documentProtection w:enforcement="0"/>
  <w:compat>
    <w:compatSetting w:name="compatibilityMode" w:uri="http://schemas.microsoft.com/office/word" w:val="15"/>
  </w:compat>
  <w:rsids>
    <w:rsidRoot w:val="00000000"/>
    <w:rsid w:val="32D33397"/>
    <w:rsid w:val="424A10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basedOn w:val="1"/>
    <w:next w:val="1"/>
    <w:qFormat/>
    <w:uiPriority w:val="0"/>
    <w:rPr>
      <w:color w:val="2E74B5"/>
      <w:sz w:val="32"/>
      <w:szCs w:val="32"/>
    </w:rPr>
  </w:style>
  <w:style w:type="paragraph" w:styleId="3">
    <w:name w:val="heading 2"/>
    <w:basedOn w:val="1"/>
    <w:next w:val="1"/>
    <w:qFormat/>
    <w:uiPriority w:val="0"/>
    <w:rPr>
      <w:color w:val="2E74B5"/>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basedOn w:val="1"/>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basedOn w:val="1"/>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475</Words>
  <Characters>2881</Characters>
  <TotalTime>18</TotalTime>
  <ScaleCrop>false</ScaleCrop>
  <LinksUpToDate>false</LinksUpToDate>
  <CharactersWithSpaces>3313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2026-09-28T05:30:00Z</dcterms:created>
  <dc:creator>Un-named</dc:creator>
  <cp:lastModifiedBy>Lakshmi narayana</cp:lastModifiedBy>
  <dcterms:modified xsi:type="dcterms:W3CDTF">2026-09-28T05:54:36Z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eyJoZGlkIjoiZmYyZWY5ODdkZWRiNDllMTYzZTVhYThmNTBhYWM5ZDUiLCJ1c2VySWQiOiI1NjcwOTcxNTc0MTIifQ==</vt:lpwstr>
  </property>
  <property fmtid="{D5CDD505-2E9C-101B-9397-08002B2CF9AE}" pid="3" name="KSOProductBuildVer">
    <vt:lpwstr>1033-12.1.0.28485</vt:lpwstr>
  </property>
  <property fmtid="{D5CDD505-2E9C-101B-9397-08002B2CF9AE}" pid="4" name="ICV">
    <vt:lpwstr>F7801CB0C49E459BA829FE80A6ABE0AE_12</vt:lpwstr>
  </property>
</Properties>
</file>