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CF" w:rsidRPr="00122F94" w:rsidRDefault="00122F94" w:rsidP="00821228">
      <w:pPr>
        <w:spacing w:after="0" w:line="240" w:lineRule="auto"/>
        <w:jc w:val="center"/>
        <w:rPr>
          <w:rFonts w:ascii="Palatino Linotype" w:eastAsia="Palatino Linotype" w:hAnsi="Palatino Linotype" w:cs="Palatino Linotype"/>
          <w:color w:val="auto"/>
          <w:lang w:val="en-US"/>
        </w:rPr>
      </w:pPr>
      <w:r w:rsidRPr="00603AD4">
        <w:rPr>
          <w:rFonts w:ascii="Palatino Linotype" w:eastAsia="Palatino Linotype" w:hAnsi="Palatino Linotype" w:cs="Palatino Linotype"/>
          <w:color w:val="auto"/>
          <w:lang w:val="en-US"/>
        </w:rPr>
        <w:t xml:space="preserve">Boris </w:t>
      </w:r>
      <w:bookmarkStart w:id="0" w:name="_GoBack"/>
      <w:bookmarkEnd w:id="0"/>
      <w:r w:rsidR="001560E2" w:rsidRPr="001560E2">
        <w:rPr>
          <w:rFonts w:ascii="Palatino Linotype" w:eastAsia="Palatino Linotype" w:hAnsi="Palatino Linotype" w:cs="Palatino Linotype"/>
          <w:color w:val="auto"/>
          <w:lang w:val="en-US"/>
        </w:rPr>
        <w:t>Kliukin</w:t>
      </w:r>
    </w:p>
    <w:p w:rsidR="003E23CF" w:rsidRPr="00122F94" w:rsidRDefault="00122F94" w:rsidP="00821228">
      <w:pPr>
        <w:spacing w:after="0" w:line="240" w:lineRule="auto"/>
        <w:jc w:val="center"/>
        <w:rPr>
          <w:rFonts w:ascii="Palatino Linotype" w:eastAsia="Palatino Linotype" w:hAnsi="Palatino Linotype" w:cs="Palatino Linotype"/>
          <w:color w:val="auto"/>
          <w:lang w:val="en-US"/>
        </w:rPr>
      </w:pPr>
      <w:r w:rsidRPr="00603AD4">
        <w:rPr>
          <w:rFonts w:ascii="Palatino Linotype" w:eastAsia="Palatino Linotype" w:hAnsi="Palatino Linotype" w:cs="Palatino Linotype"/>
          <w:color w:val="auto"/>
          <w:lang w:val="en-US"/>
        </w:rPr>
        <w:t>Postgraduate student at Lomonosov Moscow State University</w:t>
      </w:r>
      <w:r w:rsidR="003E23CF" w:rsidRPr="00122F94">
        <w:rPr>
          <w:rFonts w:ascii="Palatino Linotype" w:eastAsia="Palatino Linotype" w:hAnsi="Palatino Linotype" w:cs="Palatino Linotype"/>
          <w:color w:val="auto"/>
          <w:lang w:val="en-US"/>
        </w:rPr>
        <w:t>,</w:t>
      </w:r>
    </w:p>
    <w:p w:rsidR="003E23CF" w:rsidRPr="00122F94" w:rsidRDefault="00122F94" w:rsidP="00821228">
      <w:pPr>
        <w:spacing w:after="0" w:line="240" w:lineRule="auto"/>
        <w:jc w:val="center"/>
        <w:rPr>
          <w:rFonts w:ascii="Palatino Linotype" w:eastAsia="Palatino Linotype" w:hAnsi="Palatino Linotype" w:cs="Palatino Linotype"/>
          <w:color w:val="auto"/>
          <w:lang w:val="en-US"/>
        </w:rPr>
      </w:pPr>
      <w:r w:rsidRPr="00603AD4">
        <w:rPr>
          <w:rFonts w:ascii="Palatino Linotype" w:eastAsia="Palatino Linotype" w:hAnsi="Palatino Linotype" w:cs="Palatino Linotype"/>
          <w:color w:val="auto"/>
          <w:lang w:val="en-US"/>
        </w:rPr>
        <w:t>Chief Analyst, Industrial Development Fund (Federal State Autonomous Institution "Russian Fund for Technological Development")</w:t>
      </w:r>
      <w:r w:rsidR="003E23CF" w:rsidRPr="00122F94">
        <w:rPr>
          <w:rFonts w:ascii="Palatino Linotype" w:eastAsia="Palatino Linotype" w:hAnsi="Palatino Linotype" w:cs="Palatino Linotype"/>
          <w:color w:val="auto"/>
          <w:lang w:val="en-US"/>
        </w:rPr>
        <w:t>,</w:t>
      </w:r>
    </w:p>
    <w:p w:rsidR="009C70AF" w:rsidRPr="00122F94" w:rsidRDefault="009C70AF" w:rsidP="00821228">
      <w:pPr>
        <w:spacing w:after="0" w:line="240" w:lineRule="auto"/>
        <w:jc w:val="center"/>
        <w:rPr>
          <w:rFonts w:ascii="Palatino Linotype" w:eastAsia="Palatino Linotype" w:hAnsi="Palatino Linotype" w:cs="Palatino Linotype"/>
          <w:color w:val="auto"/>
          <w:lang w:val="en-US"/>
        </w:rPr>
      </w:pPr>
    </w:p>
    <w:p w:rsidR="003E23CF" w:rsidRPr="00122F94" w:rsidRDefault="00122F94" w:rsidP="00122F94">
      <w:pPr>
        <w:spacing w:after="0" w:line="240" w:lineRule="auto"/>
        <w:jc w:val="center"/>
        <w:rPr>
          <w:rFonts w:ascii="Palatino Linotype" w:eastAsia="Palatino Linotype" w:hAnsi="Palatino Linotype" w:cs="Palatino Linotype"/>
          <w:b/>
          <w:bCs/>
          <w:color w:val="auto"/>
          <w:lang w:val="en-US"/>
        </w:rPr>
      </w:pPr>
      <w:r w:rsidRPr="00122F94">
        <w:rPr>
          <w:rFonts w:ascii="Palatino Linotype" w:eastAsia="Palatino Linotype" w:hAnsi="Palatino Linotype" w:cs="Palatino Linotype"/>
          <w:b/>
          <w:bCs/>
          <w:color w:val="auto"/>
          <w:lang w:val="en-US"/>
        </w:rPr>
        <w:t>Threshold values ​​of financial system indicators for economic growth</w:t>
      </w:r>
    </w:p>
    <w:p w:rsidR="009C70AF" w:rsidRPr="00122F94" w:rsidRDefault="009C70AF" w:rsidP="00821228">
      <w:pPr>
        <w:spacing w:after="0" w:line="240" w:lineRule="auto"/>
        <w:jc w:val="both"/>
        <w:rPr>
          <w:rFonts w:ascii="Palatino Linotype" w:eastAsia="Palatino Linotype" w:hAnsi="Palatino Linotype" w:cs="Palatino Linotype"/>
          <w:b/>
          <w:bCs/>
          <w:color w:val="auto"/>
          <w:lang w:val="en-US"/>
        </w:rPr>
      </w:pPr>
    </w:p>
    <w:p w:rsidR="00122F94" w:rsidRDefault="00122F94" w:rsidP="00122F94">
      <w:pPr>
        <w:spacing w:after="0"/>
        <w:ind w:firstLine="708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>What drives economic growth: the banking system? Stock markets? Probably both, but to what extent does each? The issue of economic growth in different countries and the factors influencing it are important from both a theoretical and practical perspective.</w:t>
      </w:r>
    </w:p>
    <w:p w:rsidR="00122F94" w:rsidRPr="00122F94" w:rsidRDefault="00122F94" w:rsidP="00122F94">
      <w:pPr>
        <w:spacing w:after="0"/>
        <w:ind w:firstLine="708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>
        <w:rPr>
          <w:rFonts w:ascii="Palatino Linotype" w:eastAsia="Palatino Linotype" w:hAnsi="Palatino Linotype" w:cs="Palatino Linotype"/>
          <w:color w:val="auto"/>
          <w:lang w:val="en-US"/>
        </w:rPr>
        <w:t>As of writing this paper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>, this issue has been mainly considered from the point of view of two indicators describing financial depth: broad money supply (% of GDP) and domestic credit to private sector</w:t>
      </w:r>
      <w:r>
        <w:rPr>
          <w:rFonts w:ascii="Palatino Linotype" w:eastAsia="Palatino Linotype" w:hAnsi="Palatino Linotype" w:cs="Palatino Linotype"/>
          <w:color w:val="auto"/>
          <w:lang w:val="en-US"/>
        </w:rPr>
        <w:t xml:space="preserve"> 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(% of GDP). </w:t>
      </w:r>
    </w:p>
    <w:p w:rsidR="00122F94" w:rsidRPr="00122F94" w:rsidRDefault="00122F94" w:rsidP="00122F94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Thus, I.E. Grekov and D.V. Cheremisinova came to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several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 conclusion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s. T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>he ratio of broad money supply to nominal GDP above 54% does not lead</w:t>
      </w:r>
      <w:r>
        <w:rPr>
          <w:rFonts w:ascii="Palatino Linotype" w:eastAsia="Palatino Linotype" w:hAnsi="Palatino Linotype" w:cs="Palatino Linotype"/>
          <w:color w:val="auto"/>
          <w:lang w:val="en-US"/>
        </w:rPr>
        <w:t xml:space="preserve"> to further economic growth [1].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T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>here is a close relationship between the level of monetization and the level of GDP per capita, which significantly weakens during periods of crisis [2]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. M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>onetization is a key factor in solving the problems of accelerated economic growth [3].</w:t>
      </w:r>
    </w:p>
    <w:p w:rsidR="00122F94" w:rsidRPr="00122F94" w:rsidRDefault="00122F94" w:rsidP="00122F94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>S.G. Cecchetti and E. Kharroubi [4], S.H. Low and N. Singh [5], J.L. Arcand, E. Berkes, U. Pan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izza [6] studied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 the relationship between the volume of loans provided to the private sector of the economy and economic growth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.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T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he authors </w:t>
      </w:r>
      <w:r w:rsid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all </w:t>
      </w:r>
      <w:r w:rsidR="00BE459E" w:rsidRPr="00122F94">
        <w:rPr>
          <w:rFonts w:ascii="Palatino Linotype" w:eastAsia="Palatino Linotype" w:hAnsi="Palatino Linotype" w:cs="Palatino Linotype"/>
          <w:color w:val="auto"/>
          <w:lang w:val="en-US"/>
        </w:rPr>
        <w:t>concluded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 that the optimal level is achieved when the former relative to GDP is </w:t>
      </w:r>
      <w:r w:rsid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roughly 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at the same level: 90%, 88% and </w:t>
      </w:r>
      <w:r w:rsid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in 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>the 80–120%</w:t>
      </w:r>
      <w:r w:rsid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 </w:t>
      </w:r>
      <w:r w:rsidR="00BE459E" w:rsidRPr="00122F94">
        <w:rPr>
          <w:rFonts w:ascii="Palatino Linotype" w:eastAsia="Palatino Linotype" w:hAnsi="Palatino Linotype" w:cs="Palatino Linotype"/>
          <w:color w:val="auto"/>
          <w:lang w:val="en-US"/>
        </w:rPr>
        <w:t>range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>, respectively.</w:t>
      </w:r>
    </w:p>
    <w:p w:rsidR="00122F94" w:rsidRPr="00BE459E" w:rsidRDefault="00BE459E" w:rsidP="00122F94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Analysts from the Bank of Russia [7], S.H. Lei [8], S.H. Ho and J. Saadawi [9] and B.D. Klyukin [10] also looked for the optimal volume of credit to the private sector for economic growth and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argued</w:t>
      </w: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for</w:t>
      </w: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 slightly higher levels</w:t>
      </w:r>
      <w:r>
        <w:rPr>
          <w:rFonts w:ascii="Palatino Linotype" w:eastAsia="Palatino Linotype" w:hAnsi="Palatino Linotype" w:cs="Palatino Linotype"/>
          <w:color w:val="auto"/>
          <w:lang w:val="en-US"/>
        </w:rPr>
        <w:t xml:space="preserve"> than the previous authors concluded</w:t>
      </w: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>: 96%, 135%, 96.5% and 100%, respectively.</w:t>
      </w:r>
    </w:p>
    <w:p w:rsidR="00122F94" w:rsidRPr="00BE459E" w:rsidRDefault="00BE459E" w:rsidP="00122F94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>Along with studies of threshold values, there are works that reject threshold values ​​for the volume of credit to the private sector. Thus, in the work</w:t>
      </w:r>
      <w:r>
        <w:rPr>
          <w:rFonts w:ascii="Palatino Linotype" w:eastAsia="Palatino Linotype" w:hAnsi="Palatino Linotype" w:cs="Palatino Linotype"/>
          <w:color w:val="auto"/>
          <w:lang w:val="en-US"/>
        </w:rPr>
        <w:t xml:space="preserve"> of W</w:t>
      </w: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.R.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Cline</w:t>
      </w: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>, as well as in the article by K.B. Luintel, G. L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i</w:t>
      </w: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 and M. Khan, it is demonstrated that previously discovered threshold values ​​are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 xml:space="preserve">misleading </w:t>
      </w: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[11] and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that</w:t>
      </w: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 after conducting a series of assessments, no evidence in their favor was found [12].</w:t>
      </w:r>
    </w:p>
    <w:p w:rsidR="00122F94" w:rsidRPr="00BE459E" w:rsidRDefault="00BE459E" w:rsidP="00122F94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>Most of the studies reviewed focus on analyzing pairwise relationships. However, the financial system is a complex, multi-component mechanism consisting of both the banking sector and the stock market. This necessitates the development of more comprehensive analytical approaches that take into account the interplay of these components.</w:t>
      </w:r>
    </w:p>
    <w:p w:rsidR="00122F94" w:rsidRPr="00BE459E" w:rsidRDefault="00BE459E" w:rsidP="00122F94">
      <w:pPr>
        <w:spacing w:after="0" w:line="240" w:lineRule="auto"/>
        <w:ind w:firstLine="708"/>
        <w:jc w:val="both"/>
        <w:rPr>
          <w:rFonts w:ascii="Palatino Linotype" w:eastAsiaTheme="minorEastAsia" w:hAnsi="Palatino Linotype" w:cs="Palatino Linotype"/>
          <w:color w:val="auto"/>
          <w:lang w:val="en-US" w:eastAsia="zh-CN"/>
        </w:rPr>
      </w:pP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>This study's primary method for identifying thresholds and optimal financial system structures conducive to economic growth is a meta-analysis of K-means clustering results. This article uses a hierarchical version of K-means clustering (Bisecting K-Means) to identify hidden structural clusters. After calculating clusters, the GDP-weighted average growth rates of the economies in the clusters were calculated, allowing for informed assumptions about the optimal combinations and levels of financial system indicators in countries.</w:t>
      </w:r>
    </w:p>
    <w:p w:rsidR="00122F94" w:rsidRPr="00BE459E" w:rsidRDefault="00BE459E" w:rsidP="00122F94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>The study collected data on 34 countries in Asia, Africa, Europe, and the Middle East from the World Bank, FRED, Trading Economics, and national central banks. To ensure a comprehensive analysis of the study, three sets of indicators were selected, characterizing different aspects of the country's condition: economic growth, stock market size, and banking system size. After calculating the indicators, the resulting dataset covered the period from 1991 to 2021.</w:t>
      </w:r>
    </w:p>
    <w:p w:rsidR="00122F94" w:rsidRPr="00BE459E" w:rsidRDefault="00BE459E" w:rsidP="00122F94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lastRenderedPageBreak/>
        <w:t xml:space="preserve">The study yields several conclusions. Increased stock market turnover is associated with accelerated economic growth and has an approximate lower limit (~30%), below which there is no positive impact on the economy. Furthermore, the fastest-growing countries have stock market turnover above 75%. The relative size of domestic credit issued to the private sector has an optimal range (75–125% of GDP). A lower limit of 25%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GDP for</w:t>
      </w: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 credit volume was also found.</w:t>
      </w:r>
    </w:p>
    <w:p w:rsidR="00122F94" w:rsidRPr="00BE459E" w:rsidRDefault="00BE459E" w:rsidP="00122F94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The novelty of this study lies in the integrated approach to the analysis of the </w:t>
      </w:r>
      <w:r>
        <w:rPr>
          <w:rFonts w:ascii="Palatino Linotype" w:eastAsia="Palatino Linotype" w:hAnsi="Palatino Linotype" w:cs="Palatino Linotype"/>
          <w:color w:val="auto"/>
          <w:lang w:val="en-US"/>
        </w:rPr>
        <w:t>threshold</w:t>
      </w:r>
      <w:r w:rsidRPr="00BE459E">
        <w:rPr>
          <w:rFonts w:ascii="Palatino Linotype" w:eastAsia="Palatino Linotype" w:hAnsi="Palatino Linotype" w:cs="Palatino Linotype"/>
          <w:color w:val="auto"/>
          <w:lang w:val="en-US"/>
        </w:rPr>
        <w:t xml:space="preserve"> values ​​of the depth of the financial system for economic development, taking into account both the stock market and the banking system using a hierarchical clustering algorithm.</w:t>
      </w:r>
    </w:p>
    <w:p w:rsidR="00122F94" w:rsidRPr="00BE459E" w:rsidRDefault="00122F94" w:rsidP="00122F94">
      <w:pPr>
        <w:spacing w:after="0" w:line="240" w:lineRule="auto"/>
        <w:ind w:firstLine="708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</w:p>
    <w:p w:rsidR="00005BA0" w:rsidRDefault="00122F94" w:rsidP="00122F94">
      <w:pP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</w:rPr>
      </w:pPr>
      <w:r w:rsidRPr="00122F94">
        <w:rPr>
          <w:rFonts w:ascii="Palatino Linotype" w:eastAsia="Palatino Linotype" w:hAnsi="Palatino Linotype" w:cs="Palatino Linotype"/>
          <w:color w:val="auto"/>
        </w:rPr>
        <w:t>REFERENCES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122F94">
        <w:rPr>
          <w:rFonts w:ascii="Palatino Linotype" w:eastAsia="Palatino Linotype" w:hAnsi="Palatino Linotype" w:cs="Palatino Linotype"/>
          <w:i/>
          <w:color w:val="auto"/>
          <w:lang w:val="en-US"/>
        </w:rPr>
        <w:t>Grekov I. E.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On improving approaches to determining the monetization of the economy and substantiating its optimal level // Finance and Credit. 2007</w:t>
      </w:r>
      <w:r w:rsidR="00122F94">
        <w:rPr>
          <w:rFonts w:ascii="Palatino Linotype" w:eastAsia="Palatino Linotype" w:hAnsi="Palatino Linotype" w:cs="Palatino Linotype"/>
          <w:color w:val="auto"/>
          <w:lang w:val="en-US"/>
        </w:rPr>
        <w:t>. Vol. 11. No. 251. Pp. 60-70.</w:t>
      </w:r>
      <w:r w:rsidRPr="005E4B2A">
        <w:rPr>
          <w:rFonts w:ascii="Palatino Linotype" w:eastAsia="Palatino Linotype" w:hAnsi="Palatino Linotype" w:cs="Palatino Linotype"/>
          <w:color w:val="auto"/>
          <w:u w:color="00B050"/>
          <w:lang w:val="en-US"/>
        </w:rPr>
        <w:t xml:space="preserve"> 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https://cyberleninka.ru/article/n/o-sovershenstvovanii-podhodov-k-opredeleniyu-monetizatsii-ekonomiki-i-obosnovanie-ee-optimalnogo-urovnya.</w:t>
      </w:r>
      <w:r w:rsidR="00122F94"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 </w:t>
      </w:r>
      <w:r w:rsidR="00122F94" w:rsidRPr="005E4B2A">
        <w:rPr>
          <w:rFonts w:ascii="Palatino Linotype" w:eastAsia="Palatino Linotype" w:hAnsi="Palatino Linotype" w:cs="Palatino Linotype"/>
          <w:color w:val="auto"/>
          <w:lang w:val="en-US"/>
        </w:rPr>
        <w:t>(In Russ.).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122F94">
        <w:rPr>
          <w:rFonts w:ascii="Palatino Linotype" w:eastAsia="Palatino Linotype" w:hAnsi="Palatino Linotype" w:cs="Palatino Linotype"/>
          <w:i/>
          <w:color w:val="auto"/>
          <w:lang w:val="en-US"/>
        </w:rPr>
        <w:t>Grekov I. E.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Level of financial development and rates of economic growth // Finance and Credit. 2013. №3 (531). Pp. 2-9. https://cyberleninka.ru/article/n/uroven-finansovogo-razvitiya-i-tempy-ekonomicheskogo-rosta.</w:t>
      </w:r>
      <w:r w:rsidR="00122F94"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 </w:t>
      </w:r>
      <w:r w:rsidR="00122F94" w:rsidRPr="005E4B2A">
        <w:rPr>
          <w:rFonts w:ascii="Palatino Linotype" w:eastAsia="Palatino Linotype" w:hAnsi="Palatino Linotype" w:cs="Palatino Linotype"/>
          <w:color w:val="auto"/>
          <w:lang w:val="en-US"/>
        </w:rPr>
        <w:t>(In Russ.).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122F94">
        <w:rPr>
          <w:rFonts w:ascii="Palatino Linotype" w:eastAsia="Palatino Linotype" w:hAnsi="Palatino Linotype" w:cs="Palatino Linotype"/>
          <w:i/>
          <w:color w:val="auto"/>
          <w:lang w:val="en-US"/>
        </w:rPr>
        <w:t>Cheremisinova D. V.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Monetization of the economy as a driver of economic growth // Economics. 2015. Vol. 6. No.7. Pp. 33-38.</w:t>
      </w:r>
      <w:r w:rsidRPr="005E4B2A">
        <w:rPr>
          <w:rFonts w:ascii="Palatino Linotype" w:eastAsia="Palatino Linotype" w:hAnsi="Palatino Linotype" w:cs="Palatino Linotype"/>
          <w:color w:val="auto"/>
          <w:u w:color="00B050"/>
          <w:lang w:val="en-US"/>
        </w:rPr>
        <w:t xml:space="preserve"> 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https://cyberleninka.ru/article/n/monetizatsiya-ekonomiki-kak-drayver-ekonomicheskogo-rosta.</w:t>
      </w:r>
      <w:r w:rsidR="00122F94"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 </w:t>
      </w:r>
      <w:r w:rsidR="00122F94" w:rsidRPr="005E4B2A">
        <w:rPr>
          <w:rFonts w:ascii="Palatino Linotype" w:eastAsia="Palatino Linotype" w:hAnsi="Palatino Linotype" w:cs="Palatino Linotype"/>
          <w:color w:val="auto"/>
          <w:lang w:val="en-US"/>
        </w:rPr>
        <w:t>(In Russ.).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Cecchetti S. G., Kharroubi E.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Reassessing the Impact of Finance on Growth // BIS Working Papers. </w:t>
      </w:r>
      <w:r w:rsidRPr="005E4B2A">
        <w:rPr>
          <w:rFonts w:ascii="Palatino Linotype" w:eastAsia="Palatino Linotype" w:hAnsi="Palatino Linotype" w:cs="Palatino Linotype"/>
          <w:color w:val="auto"/>
        </w:rPr>
        <w:t>2012. No. 381. https://www.bis.org/publ/work381.pdf.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Law S. H., Singh N.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Does too much finance harm economic growth? // Journal of Banking and Finance. 2014. Vol. 41. Pp. 36–44. </w:t>
      </w:r>
      <w:r w:rsidRPr="005E4B2A">
        <w:rPr>
          <w:rFonts w:ascii="Palatino Linotype" w:eastAsia="Palatino Linotype" w:hAnsi="Palatino Linotype" w:cs="Palatino Linotype"/>
          <w:color w:val="auto"/>
        </w:rPr>
        <w:t>DOI: 10.1016/j.jbankfin.2013.12.020.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Arcand J. L., Berkes E., Panizza U.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Too much finance? // Journal of Economic Growth. </w:t>
      </w:r>
      <w:r w:rsidRPr="005E4B2A">
        <w:rPr>
          <w:rFonts w:ascii="Palatino Linotype" w:eastAsia="Palatino Linotype" w:hAnsi="Palatino Linotype" w:cs="Palatino Linotype"/>
          <w:color w:val="auto"/>
        </w:rPr>
        <w:t>2015. Vol. 20. No. 2. P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p</w:t>
      </w:r>
      <w:r w:rsidRPr="005E4B2A">
        <w:rPr>
          <w:rFonts w:ascii="Palatino Linotype" w:eastAsia="Palatino Linotype" w:hAnsi="Palatino Linotype" w:cs="Palatino Linotype"/>
          <w:color w:val="auto"/>
        </w:rPr>
        <w:t>. 105–148. DOI: 10.1007/s10887-015-9115-2.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122F94">
        <w:rPr>
          <w:rFonts w:ascii="Palatino Linotype" w:eastAsia="Palatino Linotype" w:hAnsi="Palatino Linotype" w:cs="Palatino Linotype"/>
          <w:i/>
          <w:color w:val="auto"/>
          <w:lang w:val="en-US"/>
        </w:rPr>
        <w:t>Bank of Russia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. The Impact of Financial Sector Development on Economic Growth and its Volatility // Analytical Note. 2017. No. 8. https://www.cbr.ru/Content/Document/File/16747/03.pdf.</w:t>
      </w:r>
      <w:r w:rsidR="00122F94"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 </w:t>
      </w:r>
      <w:r w:rsidR="00122F94" w:rsidRPr="005E4B2A">
        <w:rPr>
          <w:rFonts w:ascii="Palatino Linotype" w:eastAsia="Palatino Linotype" w:hAnsi="Palatino Linotype" w:cs="Palatino Linotype"/>
          <w:color w:val="auto"/>
          <w:lang w:val="en-US"/>
        </w:rPr>
        <w:t>(In Russ.).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Lay S. H.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Bank credit and economic growth: Short-run evidence from a dynamic threshold panel model // Economics Letters. 2020. Vol. 192. DOI: 10.1016/j.econlet.2020.109231.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Ho S. H., Saadaoui J.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Bank credit and economic growth: A dynamic threshold panel model for ASEAN countries // International Economics. 2022. Vol. 170. Pp. 115-128. DOI: 10.1016/j.inteco.2022.03.001.</w:t>
      </w:r>
    </w:p>
    <w:p w:rsidR="001E02F7" w:rsidRPr="00122F94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122F94">
        <w:rPr>
          <w:rFonts w:ascii="Palatino Linotype" w:eastAsia="Palatino Linotype" w:hAnsi="Palatino Linotype" w:cs="Palatino Linotype"/>
          <w:i/>
          <w:color w:val="auto"/>
          <w:lang w:val="en-US"/>
        </w:rPr>
        <w:t>Klyukin B. D.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The impact of financial system indicators on economic growth in China, India and a number of other countries // Economics and Management. 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>2025</w:t>
      </w:r>
      <w:r w:rsid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. Vol. 31. No. 3. Pp. 372–384. 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>DOI: 10.35854/1998-1627-2025-3-372-384.</w:t>
      </w:r>
      <w:r w:rsidR="00122F94"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 </w:t>
      </w:r>
      <w:r w:rsidR="00122F94" w:rsidRPr="005E4B2A">
        <w:rPr>
          <w:rFonts w:ascii="Palatino Linotype" w:eastAsia="Palatino Linotype" w:hAnsi="Palatino Linotype" w:cs="Palatino Linotype"/>
          <w:color w:val="auto"/>
          <w:lang w:val="en-US"/>
        </w:rPr>
        <w:t>(In Russ.).</w:t>
      </w:r>
    </w:p>
    <w:p w:rsidR="001E02F7" w:rsidRPr="005E4B2A" w:rsidRDefault="001E02F7" w:rsidP="001E02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lang w:val="en-US"/>
        </w:rPr>
      </w:pPr>
      <w:r w:rsidRPr="005E4B2A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Cline W. R.</w:t>
      </w:r>
      <w:r w:rsidRPr="005E4B2A">
        <w:rPr>
          <w:rFonts w:ascii="Palatino Linotype" w:eastAsia="Palatino Linotype" w:hAnsi="Palatino Linotype" w:cs="Palatino Linotype"/>
          <w:color w:val="auto"/>
          <w:lang w:val="en-US"/>
        </w:rPr>
        <w:t xml:space="preserve"> Too much finance, or statistical illusion? // Peterson Institute for International Economics. 2015. No. Vol. 15. No. 9. https://www.piie.com/sites/default/files/publications/pb/pb15-9.pdf.</w:t>
      </w:r>
    </w:p>
    <w:p w:rsidR="003E23CF" w:rsidRPr="00122F94" w:rsidRDefault="005E4B2A" w:rsidP="00631B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auto"/>
          <w:highlight w:val="yellow"/>
          <w:lang w:val="en-US"/>
        </w:rPr>
      </w:pPr>
      <w:r w:rsidRPr="00122F94">
        <w:rPr>
          <w:rFonts w:ascii="Palatino Linotype" w:eastAsia="Palatino Linotype" w:hAnsi="Palatino Linotype" w:cs="Palatino Linotype"/>
          <w:i/>
          <w:iCs/>
          <w:color w:val="auto"/>
          <w:lang w:val="en-US"/>
        </w:rPr>
        <w:t>Luintel K. B., Li G., Khan M.</w:t>
      </w:r>
      <w:r w:rsidRPr="00122F94">
        <w:rPr>
          <w:rFonts w:ascii="Palatino Linotype" w:eastAsia="Palatino Linotype" w:hAnsi="Palatino Linotype" w:cs="Palatino Linotype"/>
          <w:color w:val="auto"/>
          <w:lang w:val="en-US"/>
        </w:rPr>
        <w:t xml:space="preserve"> The Threshold Effect of Finance on Growth: Reassessing the Burden of Evidence // Open Economies Review. 2024. Vol. 35. Pp. 887–953. DOI: 10.1007/s11079-024-09757-6.</w:t>
      </w:r>
    </w:p>
    <w:sectPr w:rsidR="003E23CF" w:rsidRPr="00122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7B2" w:rsidRDefault="006117B2" w:rsidP="00BE459E">
      <w:pPr>
        <w:spacing w:after="0" w:line="240" w:lineRule="auto"/>
      </w:pPr>
      <w:r>
        <w:separator/>
      </w:r>
    </w:p>
  </w:endnote>
  <w:endnote w:type="continuationSeparator" w:id="0">
    <w:p w:rsidR="006117B2" w:rsidRDefault="006117B2" w:rsidP="00BE4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7B2" w:rsidRDefault="006117B2" w:rsidP="00BE459E">
      <w:pPr>
        <w:spacing w:after="0" w:line="240" w:lineRule="auto"/>
      </w:pPr>
      <w:r>
        <w:separator/>
      </w:r>
    </w:p>
  </w:footnote>
  <w:footnote w:type="continuationSeparator" w:id="0">
    <w:p w:rsidR="006117B2" w:rsidRDefault="006117B2" w:rsidP="00BE4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62A80"/>
    <w:multiLevelType w:val="hybridMultilevel"/>
    <w:tmpl w:val="378C6E7C"/>
    <w:styleLink w:val="4"/>
    <w:lvl w:ilvl="0" w:tplc="E258F45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74F90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A2BB94">
      <w:start w:val="1"/>
      <w:numFmt w:val="lowerRoman"/>
      <w:lvlText w:val="%3."/>
      <w:lvlJc w:val="left"/>
      <w:pPr>
        <w:ind w:left="216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C6809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245E7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8BED252">
      <w:start w:val="1"/>
      <w:numFmt w:val="lowerRoman"/>
      <w:lvlText w:val="%6."/>
      <w:lvlJc w:val="left"/>
      <w:pPr>
        <w:ind w:left="432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C8BD5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C20E0F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6E74B2">
      <w:start w:val="1"/>
      <w:numFmt w:val="lowerRoman"/>
      <w:lvlText w:val="%9."/>
      <w:lvlJc w:val="left"/>
      <w:pPr>
        <w:ind w:left="6480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A9E223B"/>
    <w:multiLevelType w:val="multilevel"/>
    <w:tmpl w:val="C25E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E625D"/>
    <w:multiLevelType w:val="multilevel"/>
    <w:tmpl w:val="8F0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24008"/>
    <w:multiLevelType w:val="hybridMultilevel"/>
    <w:tmpl w:val="378C6E7C"/>
    <w:numStyleLink w:val="4"/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99E"/>
    <w:rsid w:val="00005BA0"/>
    <w:rsid w:val="00122F94"/>
    <w:rsid w:val="001560E2"/>
    <w:rsid w:val="001E02F7"/>
    <w:rsid w:val="003E23CF"/>
    <w:rsid w:val="004A7D27"/>
    <w:rsid w:val="004B25D7"/>
    <w:rsid w:val="00556383"/>
    <w:rsid w:val="005661BA"/>
    <w:rsid w:val="005E4B2A"/>
    <w:rsid w:val="006117B2"/>
    <w:rsid w:val="0065599E"/>
    <w:rsid w:val="007A0FB7"/>
    <w:rsid w:val="00821228"/>
    <w:rsid w:val="008376D1"/>
    <w:rsid w:val="009744FA"/>
    <w:rsid w:val="009C70AF"/>
    <w:rsid w:val="00A37CDB"/>
    <w:rsid w:val="00B607CA"/>
    <w:rsid w:val="00BA597C"/>
    <w:rsid w:val="00BB1A04"/>
    <w:rsid w:val="00BE459E"/>
    <w:rsid w:val="00C83486"/>
    <w:rsid w:val="00E9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C694B-FE8C-4F3A-B7D2-66B89789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7CA"/>
    <w:pPr>
      <w:spacing w:line="256" w:lineRule="auto"/>
    </w:pPr>
    <w:rPr>
      <w:rFonts w:ascii="Calibri" w:eastAsia="Calibri" w:hAnsi="Calibri" w:cs="Calibri"/>
      <w:color w:val="000000"/>
      <w:u w:color="00000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21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E23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F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E23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link">
    <w:name w:val="link"/>
    <w:basedOn w:val="a0"/>
    <w:rsid w:val="003E23CF"/>
  </w:style>
  <w:style w:type="character" w:customStyle="1" w:styleId="link0">
    <w:name w:val="_link"/>
    <w:basedOn w:val="a0"/>
    <w:rsid w:val="003E23CF"/>
  </w:style>
  <w:style w:type="paragraph" w:styleId="a3">
    <w:name w:val="Normal (Web)"/>
    <w:basedOn w:val="a"/>
    <w:uiPriority w:val="99"/>
    <w:semiHidden/>
    <w:unhideWhenUsed/>
    <w:rsid w:val="003E2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styleId="a4">
    <w:name w:val="Hyperlink"/>
    <w:basedOn w:val="a0"/>
    <w:uiPriority w:val="99"/>
    <w:unhideWhenUsed/>
    <w:rsid w:val="003E23CF"/>
    <w:rPr>
      <w:color w:val="0000FF"/>
      <w:u w:val="single"/>
    </w:rPr>
  </w:style>
  <w:style w:type="character" w:styleId="a5">
    <w:name w:val="Strong"/>
    <w:basedOn w:val="a0"/>
    <w:uiPriority w:val="22"/>
    <w:qFormat/>
    <w:rsid w:val="003E23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21228"/>
    <w:rPr>
      <w:rFonts w:asciiTheme="majorHAnsi" w:eastAsiaTheme="majorEastAsia" w:hAnsiTheme="majorHAnsi" w:cstheme="majorBidi"/>
      <w:color w:val="2E74B5" w:themeColor="accent1" w:themeShade="BF"/>
      <w:sz w:val="32"/>
      <w:szCs w:val="32"/>
      <w:u w:color="000000"/>
      <w:lang w:eastAsia="ru-RU"/>
    </w:rPr>
  </w:style>
  <w:style w:type="numbering" w:customStyle="1" w:styleId="4">
    <w:name w:val="Импортированный стиль 4"/>
    <w:rsid w:val="00821228"/>
    <w:pPr>
      <w:numPr>
        <w:numId w:val="3"/>
      </w:numPr>
    </w:pPr>
  </w:style>
  <w:style w:type="character" w:customStyle="1" w:styleId="30">
    <w:name w:val="Заголовок 3 Знак"/>
    <w:basedOn w:val="a0"/>
    <w:link w:val="3"/>
    <w:uiPriority w:val="9"/>
    <w:semiHidden/>
    <w:rsid w:val="00122F94"/>
    <w:rPr>
      <w:rFonts w:asciiTheme="majorHAnsi" w:eastAsiaTheme="majorEastAsia" w:hAnsiTheme="majorHAnsi" w:cstheme="majorBidi"/>
      <w:color w:val="1F4D78" w:themeColor="accent1" w:themeShade="7F"/>
      <w:sz w:val="24"/>
      <w:szCs w:val="24"/>
      <w:u w:color="000000"/>
      <w:lang w:eastAsia="ru-RU"/>
    </w:rPr>
  </w:style>
  <w:style w:type="paragraph" w:styleId="a6">
    <w:name w:val="header"/>
    <w:basedOn w:val="a"/>
    <w:link w:val="a7"/>
    <w:uiPriority w:val="99"/>
    <w:unhideWhenUsed/>
    <w:rsid w:val="00BE45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E459E"/>
    <w:rPr>
      <w:rFonts w:ascii="Calibri" w:eastAsia="Calibri" w:hAnsi="Calibri" w:cs="Calibri"/>
      <w:color w:val="000000"/>
      <w:u w:color="000000"/>
      <w:lang w:eastAsia="ru-RU"/>
    </w:rPr>
  </w:style>
  <w:style w:type="paragraph" w:styleId="a8">
    <w:name w:val="footer"/>
    <w:basedOn w:val="a"/>
    <w:link w:val="a9"/>
    <w:uiPriority w:val="99"/>
    <w:unhideWhenUsed/>
    <w:rsid w:val="00BE45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E459E"/>
    <w:rPr>
      <w:rFonts w:ascii="Calibri" w:eastAsia="Calibri" w:hAnsi="Calibri" w:cs="Calibri"/>
      <w:color w:val="000000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6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141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7313">
          <w:marLeft w:val="0"/>
          <w:marRight w:val="0"/>
          <w:marTop w:val="192"/>
          <w:marBottom w:val="0"/>
          <w:divBdr>
            <w:top w:val="dotted" w:sz="6" w:space="0" w:color="665544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49669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31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247">
          <w:marLeft w:val="0"/>
          <w:marRight w:val="0"/>
          <w:marTop w:val="192"/>
          <w:marBottom w:val="0"/>
          <w:divBdr>
            <w:top w:val="dotted" w:sz="6" w:space="0" w:color="665544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7589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7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997</Words>
  <Characters>5808</Characters>
  <Application>Microsoft Office Word</Application>
  <DocSecurity>0</DocSecurity>
  <Lines>90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Клюкин Борис Денисович</dc:creator>
  <cp:keywords/>
  <dc:description/>
  <cp:lastModifiedBy>Клюкин Борис Денисович</cp:lastModifiedBy>
  <cp:revision>4</cp:revision>
  <dcterms:created xsi:type="dcterms:W3CDTF">2025-11-26T09:53:00Z</dcterms:created>
  <dcterms:modified xsi:type="dcterms:W3CDTF">2025-11-26T11:08:00Z</dcterms:modified>
</cp:coreProperties>
</file>