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07</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(September 6,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bookmarkEnd w:id="21"/>
    <w:bookmarkStart w:id="22" w:name="chinook-salmon-dewatered-redd-estimates"/>
    <w:p>
      <w:pPr>
        <w:pStyle w:val="Heading1"/>
      </w:pPr>
      <w:r>
        <w:t xml:space="preserve">Chinook Salmon Dewatered Redd Estimates</w:t>
      </w:r>
    </w:p>
    <w:p>
      <w:pPr>
        <w:pStyle w:val="FirstParagraph"/>
      </w:pPr>
      <w:r>
        <w:t xml:space="preserve">As of September 6,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p>
      <w:pPr>
        <w:pStyle w:val="BodyText"/>
      </w:pPr>
      <w:r>
        <w:t xml:space="preserve">There is no real time data on fall-run redd counts. Estimates are predicted based estimated dewatering percentages from USFWS (2006) and spring-run and fall-run spawn timing based on fresh female carcasses encountered by week, 2003 through 2022. Estimated emergence dates based on river water temperatures during fall-run period at CCR gauge in 2011 that closely mimics 2023 summer water temperatures. Fall-run dewatered redd estimates range from</w:t>
      </w:r>
      <w:r>
        <w:t xml:space="preserve"> </w:t>
      </w:r>
      <w:r>
        <w:rPr>
          <w:bCs/>
          <w:b/>
        </w:rPr>
        <w:t xml:space="preserve">5.4</w:t>
      </w:r>
      <w:r>
        <w:t xml:space="preserve"> </w:t>
      </w:r>
      <w:r>
        <w:t xml:space="preserve">to</w:t>
      </w:r>
      <w:r>
        <w:t xml:space="preserve"> </w:t>
      </w:r>
      <w:r>
        <w:rPr>
          <w:bCs/>
          <w:b/>
        </w:rPr>
        <w:t xml:space="preserve">10.5%</w:t>
      </w:r>
      <w:r>
        <w:t xml:space="preserve">.</w:t>
      </w:r>
    </w:p>
    <w:bookmarkEnd w:id="22"/>
    <w:bookmarkStart w:id="23"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733"/>
        <w:gridCol w:w="637"/>
        <w:gridCol w:w="637"/>
        <w:gridCol w:w="637"/>
        <w:gridCol w:w="637"/>
        <w:gridCol w:w="63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Alt.3f</w:t>
            </w:r>
          </w:p>
        </w:tc>
        <w:tc>
          <w:tcPr/>
          <w:p>
            <w:pPr>
              <w:pStyle w:val="Compact"/>
              <w:jc w:val="left"/>
            </w:pPr>
            <w:r>
              <w:t xml:space="preserve">Alt.3g</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7713</w:t>
            </w:r>
          </w:p>
        </w:tc>
        <w:tc>
          <w:tcPr/>
          <w:p>
            <w:pPr>
              <w:pStyle w:val="Compact"/>
              <w:jc w:val="left"/>
            </w:pPr>
            <w:r>
              <w:t xml:space="preserve">7770</w:t>
            </w:r>
          </w:p>
        </w:tc>
      </w:tr>
      <w:tr>
        <w:tc>
          <w:tcPr/>
          <w:p>
            <w:pPr>
              <w:pStyle w:val="Compact"/>
              <w:jc w:val="left"/>
            </w:pPr>
            <w:r>
              <w:t xml:space="preserve">Avg Oct Flow (cfs)</w:t>
            </w:r>
          </w:p>
        </w:tc>
        <w:tc>
          <w:tcPr/>
          <w:p>
            <w:pPr>
              <w:pStyle w:val="Compact"/>
              <w:jc w:val="left"/>
            </w:pPr>
            <w:r>
              <w:t xml:space="preserve">5250</w:t>
            </w:r>
          </w:p>
        </w:tc>
        <w:tc>
          <w:tcPr/>
          <w:p>
            <w:pPr>
              <w:pStyle w:val="Compact"/>
              <w:jc w:val="left"/>
            </w:pPr>
            <w:r>
              <w:t xml:space="preserve">7477</w:t>
            </w:r>
          </w:p>
        </w:tc>
        <w:tc>
          <w:tcPr/>
          <w:p>
            <w:pPr>
              <w:pStyle w:val="Compact"/>
              <w:jc w:val="left"/>
            </w:pPr>
            <w:r>
              <w:t xml:space="preserve">7363</w:t>
            </w:r>
          </w:p>
        </w:tc>
        <w:tc>
          <w:tcPr/>
          <w:p>
            <w:pPr>
              <w:pStyle w:val="Compact"/>
              <w:jc w:val="left"/>
            </w:pPr>
            <w:r>
              <w:t xml:space="preserve">7363</w:t>
            </w:r>
          </w:p>
        </w:tc>
        <w:tc>
          <w:tcPr/>
          <w:p>
            <w:pPr>
              <w:pStyle w:val="Compact"/>
              <w:jc w:val="left"/>
            </w:pPr>
            <w:r>
              <w:t xml:space="preserve">7379</w:t>
            </w:r>
          </w:p>
        </w:tc>
      </w:tr>
      <w:tr>
        <w:tc>
          <w:tcPr/>
          <w:p>
            <w:pPr>
              <w:pStyle w:val="Compact"/>
              <w:jc w:val="left"/>
            </w:pPr>
            <w:r>
              <w:t xml:space="preserve">Sept-Feb Total Volume (TAF)</w:t>
            </w:r>
          </w:p>
        </w:tc>
        <w:tc>
          <w:tcPr/>
          <w:p>
            <w:pPr>
              <w:pStyle w:val="Compact"/>
              <w:jc w:val="left"/>
            </w:pPr>
            <w:r>
              <w:t xml:space="preserve">1354</w:t>
            </w:r>
          </w:p>
        </w:tc>
        <w:tc>
          <w:tcPr/>
          <w:p>
            <w:pPr>
              <w:pStyle w:val="Compact"/>
              <w:jc w:val="left"/>
            </w:pPr>
            <w:r>
              <w:t xml:space="preserve">1446</w:t>
            </w:r>
          </w:p>
        </w:tc>
        <w:tc>
          <w:tcPr/>
          <w:p>
            <w:pPr>
              <w:pStyle w:val="Compact"/>
              <w:jc w:val="left"/>
            </w:pPr>
            <w:r>
              <w:t xml:space="preserve">1517</w:t>
            </w:r>
          </w:p>
        </w:tc>
        <w:tc>
          <w:tcPr/>
          <w:p>
            <w:pPr>
              <w:pStyle w:val="Compact"/>
              <w:jc w:val="left"/>
            </w:pPr>
            <w:r>
              <w:t xml:space="preserve">1517</w:t>
            </w:r>
          </w:p>
        </w:tc>
        <w:tc>
          <w:tcPr/>
          <w:p>
            <w:pPr>
              <w:pStyle w:val="Compact"/>
              <w:jc w:val="left"/>
            </w:pPr>
            <w:r>
              <w:t xml:space="preserve">1527</w:t>
            </w:r>
          </w:p>
        </w:tc>
      </w:tr>
      <w:tr>
        <w:tc>
          <w:tcPr/>
          <w:p>
            <w:pPr>
              <w:pStyle w:val="Compact"/>
              <w:jc w:val="left"/>
            </w:pPr>
            <w:r>
              <w:t xml:space="preserve">Aug-Oct Total Volume (TAF)</w:t>
            </w:r>
          </w:p>
        </w:tc>
        <w:tc>
          <w:tcPr/>
          <w:p>
            <w:pPr>
              <w:pStyle w:val="Compact"/>
              <w:jc w:val="left"/>
            </w:pPr>
            <w:r>
              <w:t xml:space="preserve">1836</w:t>
            </w:r>
          </w:p>
        </w:tc>
        <w:tc>
          <w:tcPr/>
          <w:p>
            <w:pPr>
              <w:pStyle w:val="Compact"/>
              <w:jc w:val="left"/>
            </w:pPr>
            <w:r>
              <w:t xml:space="preserve">2005</w:t>
            </w:r>
          </w:p>
        </w:tc>
        <w:tc>
          <w:tcPr/>
          <w:p>
            <w:pPr>
              <w:pStyle w:val="Compact"/>
              <w:jc w:val="left"/>
            </w:pPr>
            <w:r>
              <w:t xml:space="preserve">1841</w:t>
            </w:r>
          </w:p>
        </w:tc>
        <w:tc>
          <w:tcPr/>
          <w:p>
            <w:pPr>
              <w:pStyle w:val="Compact"/>
              <w:jc w:val="left"/>
            </w:pPr>
            <w:r>
              <w:t xml:space="preserve">1811</w:t>
            </w:r>
          </w:p>
        </w:tc>
        <w:tc>
          <w:tcPr/>
          <w:p>
            <w:pPr>
              <w:pStyle w:val="Compact"/>
              <w:jc w:val="left"/>
            </w:pPr>
            <w:r>
              <w:t xml:space="preserve">1865</w:t>
            </w:r>
          </w:p>
        </w:tc>
      </w:tr>
      <w:tr>
        <w:tc>
          <w:tcPr/>
          <w:p>
            <w:pPr>
              <w:pStyle w:val="Compact"/>
              <w:jc w:val="left"/>
            </w:pPr>
            <w:r>
              <w:t xml:space="preserve">Winter-run Redds dewatered</w:t>
            </w:r>
          </w:p>
        </w:tc>
        <w:tc>
          <w:tcPr/>
          <w:p>
            <w:pPr>
              <w:pStyle w:val="Compact"/>
              <w:jc w:val="left"/>
            </w:pPr>
            <w:r>
              <w:t xml:space="preserve">14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(based on current count)</w:t>
            </w:r>
          </w:p>
        </w:tc>
        <w:tc>
          <w:tcPr/>
          <w:p>
            <w:pPr>
              <w:pStyle w:val="Compact"/>
              <w:jc w:val="left"/>
            </w:pPr>
            <w:r>
              <w:t xml:space="preserve">4</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r>
      <w:tr>
        <w:tc>
          <w:tcPr/>
          <w:p>
            <w:pPr>
              <w:pStyle w:val="Compact"/>
              <w:jc w:val="left"/>
            </w:pPr>
            <w:r>
              <w:t xml:space="preserve">Winter-run Percent Lost (based on expansion of 0.7)</w:t>
            </w:r>
          </w:p>
        </w:tc>
        <w:tc>
          <w:tcPr/>
          <w:p>
            <w:pPr>
              <w:pStyle w:val="Compact"/>
              <w:jc w:val="left"/>
            </w:pPr>
            <w:r>
              <w:t xml:space="preserve">2.4</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r>
      <w:tr>
        <w:tc>
          <w:tcPr/>
          <w:p>
            <w:pPr>
              <w:pStyle w:val="Compact"/>
              <w:jc w:val="left"/>
            </w:pPr>
            <w:r>
              <w:t xml:space="preserve">Winter-run Percent Lost (based on expansion of 0.3)</w:t>
            </w:r>
          </w:p>
        </w:tc>
        <w:tc>
          <w:tcPr/>
          <w:p>
            <w:pPr>
              <w:pStyle w:val="Compact"/>
              <w:jc w:val="left"/>
            </w:pPr>
            <w:r>
              <w:t xml:space="preserve">3.1</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Winter-run Redds Dewatered (w/ 250 cfs buffer)</w:t>
            </w:r>
          </w:p>
        </w:tc>
        <w:tc>
          <w:tcPr/>
          <w:p>
            <w:pPr>
              <w:pStyle w:val="Compact"/>
              <w:jc w:val="left"/>
            </w:pPr>
            <w:r>
              <w:t xml:space="preserve">20</w:t>
            </w:r>
          </w:p>
        </w:tc>
        <w:tc>
          <w:tcPr/>
          <w:p>
            <w:pPr>
              <w:pStyle w:val="Compact"/>
              <w:jc w:val="left"/>
            </w:pPr>
            <w:r>
              <w:t xml:space="preserve">5</w:t>
            </w:r>
          </w:p>
        </w:tc>
        <w:tc>
          <w:tcPr/>
          <w:p>
            <w:pPr>
              <w:pStyle w:val="Compact"/>
              <w:jc w:val="left"/>
            </w:pPr>
            <w:r>
              <w:t xml:space="preserve">7</w:t>
            </w:r>
          </w:p>
        </w:tc>
        <w:tc>
          <w:tcPr/>
          <w:p>
            <w:pPr>
              <w:pStyle w:val="Compact"/>
              <w:jc w:val="left"/>
            </w:pPr>
            <w:r>
              <w:t xml:space="preserve">7</w:t>
            </w:r>
          </w:p>
        </w:tc>
        <w:tc>
          <w:tcPr/>
          <w:p>
            <w:pPr>
              <w:pStyle w:val="Compact"/>
              <w:jc w:val="left"/>
            </w:pPr>
            <w:r>
              <w:t xml:space="preserve">7</w:t>
            </w:r>
          </w:p>
        </w:tc>
      </w:tr>
      <w:tr>
        <w:tc>
          <w:tcPr/>
          <w:p>
            <w:pPr>
              <w:pStyle w:val="Compact"/>
              <w:jc w:val="left"/>
            </w:pPr>
            <w:r>
              <w:t xml:space="preserve">Winter-run Percent Lost (w/ 250 cfs buffer)</w:t>
            </w:r>
          </w:p>
        </w:tc>
        <w:tc>
          <w:tcPr/>
          <w:p>
            <w:pPr>
              <w:pStyle w:val="Compact"/>
              <w:jc w:val="left"/>
            </w:pPr>
            <w:r>
              <w:t xml:space="preserve">5.8</w:t>
            </w:r>
          </w:p>
        </w:tc>
        <w:tc>
          <w:tcPr/>
          <w:p>
            <w:pPr>
              <w:pStyle w:val="Compact"/>
              <w:jc w:val="left"/>
            </w:pPr>
            <w:r>
              <w:t xml:space="preserve">1.4</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Fall-run dewatered (%)</w:t>
            </w:r>
          </w:p>
        </w:tc>
        <w:tc>
          <w:tcPr/>
          <w:p>
            <w:pPr>
              <w:pStyle w:val="Compact"/>
              <w:jc w:val="left"/>
            </w:pPr>
            <w:r>
              <w:t xml:space="preserve">5.4</w:t>
            </w:r>
          </w:p>
        </w:tc>
        <w:tc>
          <w:tcPr/>
          <w:p>
            <w:pPr>
              <w:pStyle w:val="Compact"/>
              <w:jc w:val="left"/>
            </w:pPr>
            <w:r>
              <w:t xml:space="preserve">10.3</w:t>
            </w:r>
          </w:p>
        </w:tc>
        <w:tc>
          <w:tcPr/>
          <w:p>
            <w:pPr>
              <w:pStyle w:val="Compact"/>
              <w:jc w:val="left"/>
            </w:pPr>
            <w:r>
              <w:t xml:space="preserve">8.5</w:t>
            </w:r>
          </w:p>
        </w:tc>
        <w:tc>
          <w:tcPr/>
          <w:p>
            <w:pPr>
              <w:pStyle w:val="Compact"/>
              <w:jc w:val="left"/>
            </w:pPr>
            <w:r>
              <w:t xml:space="preserve">9.8</w:t>
            </w:r>
          </w:p>
        </w:tc>
        <w:tc>
          <w:tcPr/>
          <w:p>
            <w:pPr>
              <w:pStyle w:val="Compact"/>
              <w:jc w:val="left"/>
            </w:pPr>
            <w:r>
              <w:t xml:space="preserve">10.5</w:t>
            </w:r>
          </w:p>
        </w:tc>
      </w:tr>
    </w:tbl>
    <w:bookmarkEnd w:id="23"/>
    <w:bookmarkStart w:id="28" w:name="plots"/>
    <w:p>
      <w:pPr>
        <w:pStyle w:val="Heading1"/>
      </w:pPr>
      <w:r>
        <w:t xml:space="preserve">Plots</w:t>
      </w:r>
    </w:p>
    <w:p>
      <w:pPr>
        <w:pStyle w:val="FirstParagraph"/>
      </w:pPr>
      <w:r>
        <w:drawing>
          <wp:inline>
            <wp:extent cx="5334000" cy="3111500"/>
            <wp:effectExtent b="0" l="0" r="0" t="0"/>
            <wp:docPr descr="" title="" id="25" name="Picture"/>
            <a:graphic>
              <a:graphicData uri="http://schemas.openxmlformats.org/drawingml/2006/picture">
                <pic:pic>
                  <pic:nvPicPr>
                    <pic:cNvPr descr="Real-time-Estimates_Prelim_automated_v3_files/figure-docx/unnamed-chunk-9-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Black line equals KWK gauge flow and navy blue line equals KES flow (from</w:t>
      </w:r>
      <w:r>
        <w:t xml:space="preserve"> </w:t>
      </w:r>
      <w:hyperlink r:id="rId27">
        <w:r>
          <w:rPr>
            <w:rStyle w:val="Hyperlink"/>
          </w:rPr>
          <w:t xml:space="preserve">SacPas</w:t>
        </w:r>
      </w:hyperlink>
      <w:r>
        <w:t xml:space="preserve">). Dotted vertical gray line equals today’s date.</w:t>
      </w:r>
    </w:p>
    <w:p>
      <w:pPr>
        <w:pStyle w:val="BodyText"/>
      </w:pPr>
      <w:r>
        <w:t xml:space="preserve">#References</w:t>
      </w:r>
      <w:r>
        <w:t xml:space="preserve"> </w:t>
      </w:r>
      <w:r>
        <w:t xml:space="preserve">Gard, Mark. 2006. Relationships between flow fluctuations and redd dewatering and juvenile stranding for Chinook Salmon and Steelhead in the Sacramento River between Kesewick Dam and Battle Creek. 94 pages.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2023-09-07T17:14:37Z</dcterms:created>
  <dcterms:modified xsi:type="dcterms:W3CDTF">2023-09-07T17:14:37Z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September, 2023</vt:lpwstr>
  </property>
  <property fmtid="{D5CDD505-2E9C-101B-9397-08002B2CF9AE}" pid="3" name="output">
    <vt:lpwstr/>
  </property>
</Properties>
</file>