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07</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(September 6,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2"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bookmarkStart w:id="21" w:name="chinook-salmon-dewatered-redd-estimates"/>
    <w:p>
      <w:pPr>
        <w:pStyle w:val="Heading2"/>
      </w:pPr>
      <w:r>
        <w:t xml:space="preserve">Chinook Salmon Dewatered Redd Estimates</w:t>
      </w:r>
    </w:p>
    <w:p>
      <w:pPr>
        <w:pStyle w:val="FirstParagraph"/>
      </w:pPr>
      <w:r>
        <w:t xml:space="preserve">As of September 6,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w:t>
      </w:r>
      <w:r>
        <w:t xml:space="preserve"> </w:t>
      </w:r>
      <w:r>
        <w:rPr>
          <w:bCs/>
          <w:b/>
        </w:rPr>
        <w:t xml:space="preserve">5.4</w:t>
      </w:r>
      <w:r>
        <w:t xml:space="preserve"> </w:t>
      </w:r>
      <w:r>
        <w:t xml:space="preserve">to</w:t>
      </w:r>
      <w:r>
        <w:t xml:space="preserve"> </w:t>
      </w:r>
      <w:r>
        <w:rPr>
          <w:bCs/>
          <w:b/>
        </w:rPr>
        <w:t xml:space="preserve">10.5%</w:t>
      </w:r>
      <w:r>
        <w:t xml:space="preserve">.</w:t>
      </w:r>
    </w:p>
    <w:bookmarkEnd w:id="21"/>
    <w:bookmarkEnd w:id="22"/>
    <w:bookmarkStart w:id="23"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733"/>
        <w:gridCol w:w="637"/>
        <w:gridCol w:w="637"/>
        <w:gridCol w:w="637"/>
        <w:gridCol w:w="637"/>
        <w:gridCol w:w="63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Alt.3f</w:t>
            </w:r>
          </w:p>
        </w:tc>
        <w:tc>
          <w:tcPr/>
          <w:p>
            <w:pPr>
              <w:pStyle w:val="Compact"/>
              <w:jc w:val="left"/>
            </w:pPr>
            <w:r>
              <w:t xml:space="preserve">Alt.3g</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7713</w:t>
            </w:r>
          </w:p>
        </w:tc>
        <w:tc>
          <w:tcPr/>
          <w:p>
            <w:pPr>
              <w:pStyle w:val="Compact"/>
              <w:jc w:val="left"/>
            </w:pPr>
            <w:r>
              <w:t xml:space="preserve">7770</w:t>
            </w:r>
          </w:p>
        </w:tc>
      </w:tr>
      <w:tr>
        <w:tc>
          <w:tcPr/>
          <w:p>
            <w:pPr>
              <w:pStyle w:val="Compact"/>
              <w:jc w:val="left"/>
            </w:pPr>
            <w:r>
              <w:t xml:space="preserve">Avg Oct Flow (cfs)</w:t>
            </w:r>
          </w:p>
        </w:tc>
        <w:tc>
          <w:tcPr/>
          <w:p>
            <w:pPr>
              <w:pStyle w:val="Compact"/>
              <w:jc w:val="left"/>
            </w:pPr>
            <w:r>
              <w:t xml:space="preserve">5250</w:t>
            </w:r>
          </w:p>
        </w:tc>
        <w:tc>
          <w:tcPr/>
          <w:p>
            <w:pPr>
              <w:pStyle w:val="Compact"/>
              <w:jc w:val="left"/>
            </w:pPr>
            <w:r>
              <w:t xml:space="preserve">7477</w:t>
            </w:r>
          </w:p>
        </w:tc>
        <w:tc>
          <w:tcPr/>
          <w:p>
            <w:pPr>
              <w:pStyle w:val="Compact"/>
              <w:jc w:val="left"/>
            </w:pPr>
            <w:r>
              <w:t xml:space="preserve">7363</w:t>
            </w:r>
          </w:p>
        </w:tc>
        <w:tc>
          <w:tcPr/>
          <w:p>
            <w:pPr>
              <w:pStyle w:val="Compact"/>
              <w:jc w:val="left"/>
            </w:pPr>
            <w:r>
              <w:t xml:space="preserve">7363</w:t>
            </w:r>
          </w:p>
        </w:tc>
        <w:tc>
          <w:tcPr/>
          <w:p>
            <w:pPr>
              <w:pStyle w:val="Compact"/>
              <w:jc w:val="left"/>
            </w:pPr>
            <w:r>
              <w:t xml:space="preserve">7379</w:t>
            </w:r>
          </w:p>
        </w:tc>
      </w:tr>
      <w:tr>
        <w:tc>
          <w:tcPr/>
          <w:p>
            <w:pPr>
              <w:pStyle w:val="Compact"/>
              <w:jc w:val="left"/>
            </w:pPr>
            <w:r>
              <w:t xml:space="preserve">Sept-Feb Total Volume (TAF)</w:t>
            </w:r>
          </w:p>
        </w:tc>
        <w:tc>
          <w:tcPr/>
          <w:p>
            <w:pPr>
              <w:pStyle w:val="Compact"/>
              <w:jc w:val="left"/>
            </w:pPr>
            <w:r>
              <w:t xml:space="preserve">2411</w:t>
            </w:r>
          </w:p>
        </w:tc>
        <w:tc>
          <w:tcPr/>
          <w:p>
            <w:pPr>
              <w:pStyle w:val="Compact"/>
              <w:jc w:val="left"/>
            </w:pPr>
            <w:r>
              <w:t xml:space="preserve">2293</w:t>
            </w:r>
          </w:p>
        </w:tc>
        <w:tc>
          <w:tcPr/>
          <w:p>
            <w:pPr>
              <w:pStyle w:val="Compact"/>
              <w:jc w:val="left"/>
            </w:pPr>
            <w:r>
              <w:t xml:space="preserve">2129</w:t>
            </w:r>
          </w:p>
        </w:tc>
        <w:tc>
          <w:tcPr/>
          <w:p>
            <w:pPr>
              <w:pStyle w:val="Compact"/>
              <w:jc w:val="left"/>
            </w:pPr>
            <w:r>
              <w:t xml:space="preserve">2041</w:t>
            </w:r>
          </w:p>
        </w:tc>
        <w:tc>
          <w:tcPr/>
          <w:p>
            <w:pPr>
              <w:pStyle w:val="Compact"/>
              <w:jc w:val="left"/>
            </w:pPr>
            <w:r>
              <w:t xml:space="preserve">2095</w:t>
            </w:r>
          </w:p>
        </w:tc>
      </w:tr>
      <w:tr>
        <w:tc>
          <w:tcPr/>
          <w:p>
            <w:pPr>
              <w:pStyle w:val="Compact"/>
              <w:jc w:val="left"/>
            </w:pPr>
            <w:r>
              <w:t xml:space="preserve">Aug-Oct Total Volume (TAF)</w:t>
            </w:r>
          </w:p>
        </w:tc>
        <w:tc>
          <w:tcPr/>
          <w:p>
            <w:pPr>
              <w:pStyle w:val="Compact"/>
              <w:jc w:val="left"/>
            </w:pPr>
            <w:r>
              <w:t xml:space="preserve">1354</w:t>
            </w:r>
          </w:p>
        </w:tc>
        <w:tc>
          <w:tcPr/>
          <w:p>
            <w:pPr>
              <w:pStyle w:val="Compact"/>
              <w:jc w:val="left"/>
            </w:pPr>
            <w:r>
              <w:t xml:space="preserve">1446</w:t>
            </w:r>
          </w:p>
        </w:tc>
        <w:tc>
          <w:tcPr/>
          <w:p>
            <w:pPr>
              <w:pStyle w:val="Compact"/>
              <w:jc w:val="left"/>
            </w:pPr>
            <w:r>
              <w:t xml:space="preserve">1517</w:t>
            </w:r>
          </w:p>
        </w:tc>
        <w:tc>
          <w:tcPr/>
          <w:p>
            <w:pPr>
              <w:pStyle w:val="Compact"/>
              <w:jc w:val="left"/>
            </w:pPr>
            <w:r>
              <w:t xml:space="preserve">1517</w:t>
            </w:r>
          </w:p>
        </w:tc>
        <w:tc>
          <w:tcPr/>
          <w:p>
            <w:pPr>
              <w:pStyle w:val="Compact"/>
              <w:jc w:val="left"/>
            </w:pPr>
            <w:r>
              <w:t xml:space="preserve">1527</w:t>
            </w:r>
          </w:p>
        </w:tc>
      </w:tr>
      <w:tr>
        <w:tc>
          <w:tcPr/>
          <w:p>
            <w:pPr>
              <w:pStyle w:val="Compact"/>
              <w:jc w:val="left"/>
            </w:pPr>
            <w:r>
              <w:t xml:space="preserve">Winter-run Redds dewatered</w:t>
            </w:r>
          </w:p>
        </w:tc>
        <w:tc>
          <w:tcPr/>
          <w:p>
            <w:pPr>
              <w:pStyle w:val="Compact"/>
              <w:jc w:val="left"/>
            </w:pPr>
            <w:r>
              <w:t xml:space="preserve">14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(based on current count)</w:t>
            </w:r>
          </w:p>
        </w:tc>
        <w:tc>
          <w:tcPr/>
          <w:p>
            <w:pPr>
              <w:pStyle w:val="Compact"/>
              <w:jc w:val="left"/>
            </w:pPr>
            <w:r>
              <w:t xml:space="preserve">4</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r>
      <w:tr>
        <w:tc>
          <w:tcPr/>
          <w:p>
            <w:pPr>
              <w:pStyle w:val="Compact"/>
              <w:jc w:val="left"/>
            </w:pPr>
            <w:r>
              <w:t xml:space="preserve">Winter-run Percent Lost (based on expansion of 0.7)</w:t>
            </w:r>
          </w:p>
        </w:tc>
        <w:tc>
          <w:tcPr/>
          <w:p>
            <w:pPr>
              <w:pStyle w:val="Compact"/>
              <w:jc w:val="left"/>
            </w:pPr>
            <w:r>
              <w:t xml:space="preserve">2.4</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r>
      <w:tr>
        <w:tc>
          <w:tcPr/>
          <w:p>
            <w:pPr>
              <w:pStyle w:val="Compact"/>
              <w:jc w:val="left"/>
            </w:pPr>
            <w:r>
              <w:t xml:space="preserve">Winter-run Percent Lost (based on expansion of 0.3)</w:t>
            </w:r>
          </w:p>
        </w:tc>
        <w:tc>
          <w:tcPr/>
          <w:p>
            <w:pPr>
              <w:pStyle w:val="Compact"/>
              <w:jc w:val="left"/>
            </w:pPr>
            <w:r>
              <w:t xml:space="preserve">3.1</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Winter-run Redds Dewatered (w/ 250 cfs buffer)</w:t>
            </w:r>
          </w:p>
        </w:tc>
        <w:tc>
          <w:tcPr/>
          <w:p>
            <w:pPr>
              <w:pStyle w:val="Compact"/>
              <w:jc w:val="left"/>
            </w:pPr>
            <w:r>
              <w:t xml:space="preserve">20</w:t>
            </w:r>
          </w:p>
        </w:tc>
        <w:tc>
          <w:tcPr/>
          <w:p>
            <w:pPr>
              <w:pStyle w:val="Compact"/>
              <w:jc w:val="left"/>
            </w:pPr>
            <w:r>
              <w:t xml:space="preserve">5</w:t>
            </w:r>
          </w:p>
        </w:tc>
        <w:tc>
          <w:tcPr/>
          <w:p>
            <w:pPr>
              <w:pStyle w:val="Compact"/>
              <w:jc w:val="left"/>
            </w:pPr>
            <w:r>
              <w:t xml:space="preserve">7</w:t>
            </w:r>
          </w:p>
        </w:tc>
        <w:tc>
          <w:tcPr/>
          <w:p>
            <w:pPr>
              <w:pStyle w:val="Compact"/>
              <w:jc w:val="left"/>
            </w:pPr>
            <w:r>
              <w:t xml:space="preserve">7</w:t>
            </w:r>
          </w:p>
        </w:tc>
        <w:tc>
          <w:tcPr/>
          <w:p>
            <w:pPr>
              <w:pStyle w:val="Compact"/>
              <w:jc w:val="left"/>
            </w:pPr>
            <w:r>
              <w:t xml:space="preserve">7</w:t>
            </w:r>
          </w:p>
        </w:tc>
      </w:tr>
      <w:tr>
        <w:tc>
          <w:tcPr/>
          <w:p>
            <w:pPr>
              <w:pStyle w:val="Compact"/>
              <w:jc w:val="left"/>
            </w:pPr>
            <w:r>
              <w:t xml:space="preserve">Winter-run Percent Lost (w/ 250 cfs buffer)</w:t>
            </w:r>
          </w:p>
        </w:tc>
        <w:tc>
          <w:tcPr/>
          <w:p>
            <w:pPr>
              <w:pStyle w:val="Compact"/>
              <w:jc w:val="left"/>
            </w:pPr>
            <w:r>
              <w:t xml:space="preserve">5.8</w:t>
            </w:r>
          </w:p>
        </w:tc>
        <w:tc>
          <w:tcPr/>
          <w:p>
            <w:pPr>
              <w:pStyle w:val="Compact"/>
              <w:jc w:val="left"/>
            </w:pPr>
            <w:r>
              <w:t xml:space="preserve">1.4</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Fall-run dewatered (%)</w:t>
            </w:r>
          </w:p>
        </w:tc>
        <w:tc>
          <w:tcPr/>
          <w:p>
            <w:pPr>
              <w:pStyle w:val="Compact"/>
              <w:jc w:val="left"/>
            </w:pPr>
            <w:r>
              <w:t xml:space="preserve">5.4</w:t>
            </w:r>
          </w:p>
        </w:tc>
        <w:tc>
          <w:tcPr/>
          <w:p>
            <w:pPr>
              <w:pStyle w:val="Compact"/>
              <w:jc w:val="left"/>
            </w:pPr>
            <w:r>
              <w:t xml:space="preserve">10.3</w:t>
            </w:r>
          </w:p>
        </w:tc>
        <w:tc>
          <w:tcPr/>
          <w:p>
            <w:pPr>
              <w:pStyle w:val="Compact"/>
              <w:jc w:val="left"/>
            </w:pPr>
            <w:r>
              <w:t xml:space="preserve">8.5</w:t>
            </w:r>
          </w:p>
        </w:tc>
        <w:tc>
          <w:tcPr/>
          <w:p>
            <w:pPr>
              <w:pStyle w:val="Compact"/>
              <w:jc w:val="left"/>
            </w:pPr>
            <w:r>
              <w:t xml:space="preserve">9.8</w:t>
            </w:r>
          </w:p>
        </w:tc>
        <w:tc>
          <w:tcPr/>
          <w:p>
            <w:pPr>
              <w:pStyle w:val="Compact"/>
              <w:jc w:val="left"/>
            </w:pPr>
            <w:r>
              <w:t xml:space="preserve">10.5</w:t>
            </w:r>
          </w:p>
        </w:tc>
      </w:tr>
    </w:tbl>
    <w:bookmarkEnd w:id="23"/>
    <w:bookmarkStart w:id="28" w:name="plots"/>
    <w:p>
      <w:pPr>
        <w:pStyle w:val="Heading1"/>
      </w:pPr>
      <w:r>
        <w:t xml:space="preserve">Plots</w:t>
      </w:r>
    </w:p>
    <w:p>
      <w:pPr>
        <w:pStyle w:val="FirstParagraph"/>
      </w:pPr>
      <w:r>
        <w:drawing>
          <wp:inline>
            <wp:extent cx="5334000" cy="3111500"/>
            <wp:effectExtent b="0" l="0" r="0" t="0"/>
            <wp:docPr descr="" title="" id="25" name="Picture"/>
            <a:graphic>
              <a:graphicData uri="http://schemas.openxmlformats.org/drawingml/2006/picture">
                <pic:pic>
                  <pic:nvPicPr>
                    <pic:cNvPr descr="Real-time-Estimates_Prelim_automated_v3_files/figure-docx/unnamed-chunk-9-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black line equals KWK gauge flow and navy blue line equals KES flow (from</w:t>
      </w:r>
      <w:r>
        <w:t xml:space="preserve"> </w:t>
      </w:r>
      <w:hyperlink r:id="rId27">
        <w:r>
          <w:rPr>
            <w:rStyle w:val="Hyperlink"/>
          </w:rPr>
          <w:t xml:space="preserve">SacPas</w:t>
        </w:r>
      </w:hyperlink>
      <w:r>
        <w:t xml:space="preserve">).</w:t>
      </w:r>
    </w:p>
    <w:bookmarkEnd w:id="28"/>
    <w:bookmarkStart w:id="29"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Kesewick Dam and Battle Creek. 94 pages.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27" Target="https://www.cbr.washington.edu/sacramento/data/query_river_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2023-09-07T19:53:23Z</dcterms:created>
  <dcterms:modified xsi:type="dcterms:W3CDTF">2023-09-07T19:53:23Z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September, 2023</vt:lpwstr>
  </property>
  <property fmtid="{D5CDD505-2E9C-101B-9397-08002B2CF9AE}" pid="3" name="output">
    <vt:lpwstr/>
  </property>
</Properties>
</file>