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D9D94" w14:textId="77777777" w:rsidR="00E8553C" w:rsidRDefault="0063268E">
      <w:pPr>
        <w:pStyle w:val="Title"/>
      </w:pPr>
      <w:r>
        <w:t>PRELIMINARY DATA: Redd Dewatering Estimates for Keswick Fall Flow Scenarios</w:t>
      </w:r>
    </w:p>
    <w:p w14:paraId="318D9D95" w14:textId="77777777" w:rsidR="00E8553C" w:rsidRDefault="0063268E">
      <w:pPr>
        <w:pStyle w:val="Author"/>
      </w:pPr>
      <w:r>
        <w:t>BDO Science Division</w:t>
      </w:r>
    </w:p>
    <w:p w14:paraId="318D9D96" w14:textId="77777777" w:rsidR="00E8553C" w:rsidRDefault="0063268E">
      <w:pPr>
        <w:pStyle w:val="Date"/>
      </w:pPr>
      <w:r>
        <w:t>26 September, 2023</w:t>
      </w:r>
    </w:p>
    <w:p w14:paraId="318D9D97" w14:textId="02303596" w:rsidR="00E8553C" w:rsidRDefault="0063268E">
      <w:pPr>
        <w:pStyle w:val="FirstParagraph"/>
      </w:pPr>
      <w:r>
        <w:t xml:space="preserve">This script constructs real-time winter-run redd dewatering estimates based on most recent data available from CDFW (September </w:t>
      </w:r>
      <w:r w:rsidR="0045389B">
        <w:t>26</w:t>
      </w:r>
      <w:r>
        <w:t xml:space="preserve">, 2023) for winter-run data and dewatering estimates from USFWS (2006; see citation). Data are also available in 2023 Winter-run Data file.xls online at </w:t>
      </w:r>
      <w:hyperlink r:id="rId7">
        <w:r>
          <w:rPr>
            <w:rStyle w:val="Hyperlink"/>
          </w:rPr>
          <w:t>calfish.org</w:t>
        </w:r>
      </w:hyperlink>
      <w:r>
        <w:t>.</w:t>
      </w:r>
    </w:p>
    <w:p w14:paraId="318D9D98" w14:textId="77777777" w:rsidR="00E8553C" w:rsidRDefault="0063268E">
      <w:pPr>
        <w:pStyle w:val="BodyText"/>
      </w:pPr>
      <w:r>
        <w:t>Please note that all data are preliminary until data collection is finalized. Likewise, there are uncertainties with forecasts which may lead to changes in proposed operations.</w:t>
      </w:r>
    </w:p>
    <w:p w14:paraId="318D9D99" w14:textId="77777777" w:rsidR="00E8553C" w:rsidRDefault="0063268E">
      <w:pPr>
        <w:pStyle w:val="Heading1"/>
      </w:pPr>
      <w:bookmarkStart w:id="0" w:name="X59d5e478ad6d807a5a74b9051fa2412e5aa8989"/>
      <w:r>
        <w:t>Current Winter-run Chinook Salmon Redd Count</w:t>
      </w:r>
    </w:p>
    <w:p w14:paraId="318D9D9A" w14:textId="77777777" w:rsidR="00E8553C" w:rsidRDefault="0063268E">
      <w:pPr>
        <w:pStyle w:val="FirstParagraph"/>
      </w:pPr>
      <w:r>
        <w:t xml:space="preserve">As of August 31, 2023, the unexpanded redd count is </w:t>
      </w:r>
      <w:r>
        <w:rPr>
          <w:b/>
          <w:bCs/>
        </w:rPr>
        <w:t>354</w:t>
      </w:r>
      <w:r>
        <w:t xml:space="preserve"> Winter-run redds. It is important to note that until data collection is completed for the year these are the </w:t>
      </w:r>
      <w:r>
        <w:rPr>
          <w:b/>
          <w:bCs/>
        </w:rPr>
        <w:t>minimum</w:t>
      </w:r>
      <w:r>
        <w:t xml:space="preserve"> number of possible redds. The Winter-run number will always expand upon final analysis but gives an in-season guard rail of the minimum number of redds this year.</w:t>
      </w:r>
    </w:p>
    <w:p w14:paraId="318D9D9B" w14:textId="77777777" w:rsidR="00E8553C" w:rsidRDefault="0063268E">
      <w:pPr>
        <w:pStyle w:val="BodyText"/>
      </w:pPr>
      <w:r>
        <w:t>Given that the number of Winter-run redds is always larger than the early season carcass counts, an expansion number based on historic data is multiplied by the carcass count to estimate the total number of redds for the season before the end of the season’s final estimate is developed and the final redd count is known. These additional estimates of redd counts (shown in Table 1) help to inform decisions regarding possible redd dewatering.</w:t>
      </w:r>
    </w:p>
    <w:p w14:paraId="318D9D9C" w14:textId="77777777" w:rsidR="00E8553C" w:rsidRDefault="0063268E">
      <w:pPr>
        <w:pStyle w:val="BodyText"/>
      </w:pPr>
      <w:r>
        <w:rPr>
          <w:b/>
          <w:bCs/>
        </w:rPr>
        <w:t>Table 1.</w:t>
      </w:r>
      <w:r>
        <w:t xml:space="preserve"> Estimated total number of Winter-run redds and resulting number of redds that represent 1% of the population. Estimated total redds are based on current count and expansion numbers representing 1) average 2005-2022 expansion, 2) year-specific expansion determined by the linear relationship between yearly expansions vs recapture rate of tagged female salmon, 3) maximum 2005-2022 expansion, and 4) minimum 2005-2022 expansion.</w:t>
      </w:r>
    </w:p>
    <w:tbl>
      <w:tblPr>
        <w:tblStyle w:val="Table"/>
        <w:tblW w:w="0" w:type="auto"/>
        <w:tblLook w:val="0020" w:firstRow="1" w:lastRow="0" w:firstColumn="0" w:lastColumn="0" w:noHBand="0" w:noVBand="0"/>
      </w:tblPr>
      <w:tblGrid>
        <w:gridCol w:w="2865"/>
        <w:gridCol w:w="2182"/>
        <w:gridCol w:w="1438"/>
        <w:gridCol w:w="797"/>
      </w:tblGrid>
      <w:tr w:rsidR="00E8553C" w14:paraId="318D9DA1" w14:textId="77777777" w:rsidTr="00E8553C">
        <w:trPr>
          <w:cnfStyle w:val="100000000000" w:firstRow="1" w:lastRow="0" w:firstColumn="0" w:lastColumn="0" w:oddVBand="0" w:evenVBand="0" w:oddHBand="0" w:evenHBand="0" w:firstRowFirstColumn="0" w:firstRowLastColumn="0" w:lastRowFirstColumn="0" w:lastRowLastColumn="0"/>
          <w:tblHeader/>
        </w:trPr>
        <w:tc>
          <w:tcPr>
            <w:tcW w:w="0" w:type="auto"/>
          </w:tcPr>
          <w:p w14:paraId="318D9D9D" w14:textId="77777777" w:rsidR="00E8553C" w:rsidRDefault="0063268E">
            <w:pPr>
              <w:pStyle w:val="Compact"/>
            </w:pPr>
            <w:r>
              <w:t>Name</w:t>
            </w:r>
          </w:p>
        </w:tc>
        <w:tc>
          <w:tcPr>
            <w:tcW w:w="0" w:type="auto"/>
          </w:tcPr>
          <w:p w14:paraId="318D9D9E" w14:textId="77777777" w:rsidR="00E8553C" w:rsidRDefault="0063268E">
            <w:pPr>
              <w:pStyle w:val="Compact"/>
              <w:jc w:val="right"/>
            </w:pPr>
            <w:r>
              <w:t>Expansion Number</w:t>
            </w:r>
          </w:p>
        </w:tc>
        <w:tc>
          <w:tcPr>
            <w:tcW w:w="0" w:type="auto"/>
          </w:tcPr>
          <w:p w14:paraId="318D9D9F" w14:textId="77777777" w:rsidR="00E8553C" w:rsidRDefault="0063268E">
            <w:pPr>
              <w:pStyle w:val="Compact"/>
              <w:jc w:val="right"/>
            </w:pPr>
            <w:r>
              <w:t>Total Redds</w:t>
            </w:r>
          </w:p>
        </w:tc>
        <w:tc>
          <w:tcPr>
            <w:tcW w:w="0" w:type="auto"/>
          </w:tcPr>
          <w:p w14:paraId="318D9DA0" w14:textId="77777777" w:rsidR="00E8553C" w:rsidRDefault="0063268E">
            <w:pPr>
              <w:pStyle w:val="Compact"/>
              <w:jc w:val="right"/>
            </w:pPr>
            <w:r>
              <w:t>1%</w:t>
            </w:r>
          </w:p>
        </w:tc>
      </w:tr>
      <w:tr w:rsidR="00E8553C" w14:paraId="318D9DA6" w14:textId="77777777">
        <w:tc>
          <w:tcPr>
            <w:tcW w:w="0" w:type="auto"/>
          </w:tcPr>
          <w:p w14:paraId="318D9DA2" w14:textId="77777777" w:rsidR="00E8553C" w:rsidRDefault="0063268E">
            <w:pPr>
              <w:pStyle w:val="Compact"/>
            </w:pPr>
            <w:r>
              <w:t>Current Count</w:t>
            </w:r>
          </w:p>
        </w:tc>
        <w:tc>
          <w:tcPr>
            <w:tcW w:w="0" w:type="auto"/>
          </w:tcPr>
          <w:p w14:paraId="318D9DA3" w14:textId="77777777" w:rsidR="00E8553C" w:rsidRDefault="0063268E">
            <w:pPr>
              <w:pStyle w:val="Compact"/>
              <w:jc w:val="right"/>
            </w:pPr>
            <w:r>
              <w:t>1.00</w:t>
            </w:r>
          </w:p>
        </w:tc>
        <w:tc>
          <w:tcPr>
            <w:tcW w:w="0" w:type="auto"/>
          </w:tcPr>
          <w:p w14:paraId="318D9DA4" w14:textId="77777777" w:rsidR="00E8553C" w:rsidRDefault="0063268E">
            <w:pPr>
              <w:pStyle w:val="Compact"/>
              <w:jc w:val="right"/>
            </w:pPr>
            <w:r>
              <w:t>354</w:t>
            </w:r>
          </w:p>
        </w:tc>
        <w:tc>
          <w:tcPr>
            <w:tcW w:w="0" w:type="auto"/>
          </w:tcPr>
          <w:p w14:paraId="318D9DA5" w14:textId="77777777" w:rsidR="00E8553C" w:rsidRDefault="0063268E">
            <w:pPr>
              <w:pStyle w:val="Compact"/>
              <w:jc w:val="right"/>
            </w:pPr>
            <w:r>
              <w:t>3.54</w:t>
            </w:r>
          </w:p>
        </w:tc>
      </w:tr>
      <w:tr w:rsidR="00E8553C" w14:paraId="318D9DAB" w14:textId="77777777">
        <w:tc>
          <w:tcPr>
            <w:tcW w:w="0" w:type="auto"/>
          </w:tcPr>
          <w:p w14:paraId="318D9DA7" w14:textId="77777777" w:rsidR="00E8553C" w:rsidRDefault="0063268E">
            <w:pPr>
              <w:pStyle w:val="Compact"/>
            </w:pPr>
            <w:r>
              <w:t>Average Expansion</w:t>
            </w:r>
          </w:p>
        </w:tc>
        <w:tc>
          <w:tcPr>
            <w:tcW w:w="0" w:type="auto"/>
          </w:tcPr>
          <w:p w14:paraId="318D9DA8" w14:textId="77777777" w:rsidR="00E8553C" w:rsidRDefault="0063268E">
            <w:pPr>
              <w:pStyle w:val="Compact"/>
              <w:jc w:val="right"/>
            </w:pPr>
            <w:r>
              <w:t>1.98</w:t>
            </w:r>
          </w:p>
        </w:tc>
        <w:tc>
          <w:tcPr>
            <w:tcW w:w="0" w:type="auto"/>
          </w:tcPr>
          <w:p w14:paraId="318D9DA9" w14:textId="77777777" w:rsidR="00E8553C" w:rsidRDefault="0063268E">
            <w:pPr>
              <w:pStyle w:val="Compact"/>
              <w:jc w:val="right"/>
            </w:pPr>
            <w:r>
              <w:t>701</w:t>
            </w:r>
          </w:p>
        </w:tc>
        <w:tc>
          <w:tcPr>
            <w:tcW w:w="0" w:type="auto"/>
          </w:tcPr>
          <w:p w14:paraId="318D9DAA" w14:textId="77777777" w:rsidR="00E8553C" w:rsidRDefault="0063268E">
            <w:pPr>
              <w:pStyle w:val="Compact"/>
              <w:jc w:val="right"/>
            </w:pPr>
            <w:r>
              <w:t>7.01</w:t>
            </w:r>
          </w:p>
        </w:tc>
      </w:tr>
      <w:tr w:rsidR="00E8553C" w14:paraId="318D9DB0" w14:textId="77777777">
        <w:tc>
          <w:tcPr>
            <w:tcW w:w="0" w:type="auto"/>
          </w:tcPr>
          <w:p w14:paraId="318D9DAC" w14:textId="77777777" w:rsidR="00E8553C" w:rsidRDefault="0063268E">
            <w:pPr>
              <w:pStyle w:val="Compact"/>
            </w:pPr>
            <w:r>
              <w:t>Expected 2023 Expansion</w:t>
            </w:r>
          </w:p>
        </w:tc>
        <w:tc>
          <w:tcPr>
            <w:tcW w:w="0" w:type="auto"/>
          </w:tcPr>
          <w:p w14:paraId="318D9DAD" w14:textId="77777777" w:rsidR="00E8553C" w:rsidRDefault="0063268E">
            <w:pPr>
              <w:pStyle w:val="Compact"/>
              <w:jc w:val="right"/>
            </w:pPr>
            <w:r>
              <w:t>3.00</w:t>
            </w:r>
          </w:p>
        </w:tc>
        <w:tc>
          <w:tcPr>
            <w:tcW w:w="0" w:type="auto"/>
          </w:tcPr>
          <w:p w14:paraId="318D9DAE" w14:textId="77777777" w:rsidR="00E8553C" w:rsidRDefault="0063268E">
            <w:pPr>
              <w:pStyle w:val="Compact"/>
              <w:jc w:val="right"/>
            </w:pPr>
            <w:r>
              <w:t>1062</w:t>
            </w:r>
          </w:p>
        </w:tc>
        <w:tc>
          <w:tcPr>
            <w:tcW w:w="0" w:type="auto"/>
          </w:tcPr>
          <w:p w14:paraId="318D9DAF" w14:textId="77777777" w:rsidR="00E8553C" w:rsidRDefault="0063268E">
            <w:pPr>
              <w:pStyle w:val="Compact"/>
              <w:jc w:val="right"/>
            </w:pPr>
            <w:r>
              <w:t>10.62</w:t>
            </w:r>
          </w:p>
        </w:tc>
      </w:tr>
      <w:tr w:rsidR="00E8553C" w14:paraId="318D9DB5" w14:textId="77777777">
        <w:tc>
          <w:tcPr>
            <w:tcW w:w="0" w:type="auto"/>
          </w:tcPr>
          <w:p w14:paraId="318D9DB1" w14:textId="77777777" w:rsidR="00E8553C" w:rsidRDefault="0063268E">
            <w:pPr>
              <w:pStyle w:val="Compact"/>
            </w:pPr>
            <w:r>
              <w:t>Maximum Expansion</w:t>
            </w:r>
          </w:p>
        </w:tc>
        <w:tc>
          <w:tcPr>
            <w:tcW w:w="0" w:type="auto"/>
          </w:tcPr>
          <w:p w14:paraId="318D9DB2" w14:textId="77777777" w:rsidR="00E8553C" w:rsidRDefault="0063268E">
            <w:pPr>
              <w:pStyle w:val="Compact"/>
              <w:jc w:val="right"/>
            </w:pPr>
            <w:r>
              <w:t>3.45</w:t>
            </w:r>
          </w:p>
        </w:tc>
        <w:tc>
          <w:tcPr>
            <w:tcW w:w="0" w:type="auto"/>
          </w:tcPr>
          <w:p w14:paraId="318D9DB3" w14:textId="77777777" w:rsidR="00E8553C" w:rsidRDefault="0063268E">
            <w:pPr>
              <w:pStyle w:val="Compact"/>
              <w:jc w:val="right"/>
            </w:pPr>
            <w:r>
              <w:t>1221</w:t>
            </w:r>
          </w:p>
        </w:tc>
        <w:tc>
          <w:tcPr>
            <w:tcW w:w="0" w:type="auto"/>
          </w:tcPr>
          <w:p w14:paraId="318D9DB4" w14:textId="77777777" w:rsidR="00E8553C" w:rsidRDefault="0063268E">
            <w:pPr>
              <w:pStyle w:val="Compact"/>
              <w:jc w:val="right"/>
            </w:pPr>
            <w:r>
              <w:t>12.21</w:t>
            </w:r>
          </w:p>
        </w:tc>
      </w:tr>
      <w:tr w:rsidR="00E8553C" w14:paraId="318D9DBA" w14:textId="77777777">
        <w:tc>
          <w:tcPr>
            <w:tcW w:w="0" w:type="auto"/>
          </w:tcPr>
          <w:p w14:paraId="318D9DB6" w14:textId="77777777" w:rsidR="00E8553C" w:rsidRDefault="0063268E">
            <w:pPr>
              <w:pStyle w:val="Compact"/>
            </w:pPr>
            <w:r>
              <w:t>Minimum Expansion</w:t>
            </w:r>
          </w:p>
        </w:tc>
        <w:tc>
          <w:tcPr>
            <w:tcW w:w="0" w:type="auto"/>
          </w:tcPr>
          <w:p w14:paraId="318D9DB7" w14:textId="77777777" w:rsidR="00E8553C" w:rsidRDefault="0063268E">
            <w:pPr>
              <w:pStyle w:val="Compact"/>
              <w:jc w:val="right"/>
            </w:pPr>
            <w:r>
              <w:t>1.25</w:t>
            </w:r>
          </w:p>
        </w:tc>
        <w:tc>
          <w:tcPr>
            <w:tcW w:w="0" w:type="auto"/>
          </w:tcPr>
          <w:p w14:paraId="318D9DB8" w14:textId="77777777" w:rsidR="00E8553C" w:rsidRDefault="0063268E">
            <w:pPr>
              <w:pStyle w:val="Compact"/>
              <w:jc w:val="right"/>
            </w:pPr>
            <w:r>
              <w:t>442</w:t>
            </w:r>
          </w:p>
        </w:tc>
        <w:tc>
          <w:tcPr>
            <w:tcW w:w="0" w:type="auto"/>
          </w:tcPr>
          <w:p w14:paraId="318D9DB9" w14:textId="77777777" w:rsidR="00E8553C" w:rsidRDefault="0063268E">
            <w:pPr>
              <w:pStyle w:val="Compact"/>
              <w:jc w:val="right"/>
            </w:pPr>
            <w:r>
              <w:t>4.42</w:t>
            </w:r>
          </w:p>
        </w:tc>
      </w:tr>
    </w:tbl>
    <w:p w14:paraId="318D9DBB" w14:textId="77777777" w:rsidR="00E8553C" w:rsidRDefault="0063268E">
      <w:pPr>
        <w:pStyle w:val="Heading2"/>
      </w:pPr>
      <w:bookmarkStart w:id="1" w:name="chinook-salmon-dewatered-redd-estimates"/>
      <w:r>
        <w:lastRenderedPageBreak/>
        <w:t>Chinook Salmon Dewatered Redd Estimates</w:t>
      </w:r>
    </w:p>
    <w:p w14:paraId="318D9DBC" w14:textId="33F55B4A" w:rsidR="00E8553C" w:rsidRDefault="0063268E">
      <w:pPr>
        <w:pStyle w:val="FirstParagraph"/>
      </w:pPr>
      <w:r>
        <w:t xml:space="preserve">As of September </w:t>
      </w:r>
      <w:r w:rsidR="0045389B">
        <w:t>26</w:t>
      </w:r>
      <w:r>
        <w:t xml:space="preserve">, 2023, </w:t>
      </w:r>
      <w:r w:rsidR="0045389B">
        <w:rPr>
          <w:b/>
          <w:bCs/>
        </w:rPr>
        <w:t>5</w:t>
      </w:r>
      <w:r>
        <w:t xml:space="preserve"> Winter-run redds have </w:t>
      </w:r>
      <w:r>
        <w:rPr>
          <w:b/>
          <w:bCs/>
        </w:rPr>
        <w:t>emerged</w:t>
      </w:r>
      <w:r>
        <w:t xml:space="preserve"> and </w:t>
      </w:r>
      <w:r>
        <w:rPr>
          <w:b/>
          <w:bCs/>
        </w:rPr>
        <w:t>2</w:t>
      </w:r>
      <w:r>
        <w:t xml:space="preserve"> have been </w:t>
      </w:r>
      <w:r>
        <w:rPr>
          <w:b/>
          <w:bCs/>
        </w:rPr>
        <w:t>dewatered</w:t>
      </w:r>
      <w:r>
        <w:t xml:space="preserve">. This leaves </w:t>
      </w:r>
      <w:r w:rsidR="0045389B">
        <w:rPr>
          <w:b/>
          <w:bCs/>
        </w:rPr>
        <w:t>19</w:t>
      </w:r>
      <w:r>
        <w:t xml:space="preserve"> shallow water redds of concern.</w:t>
      </w:r>
    </w:p>
    <w:p w14:paraId="318D9DBD" w14:textId="77777777" w:rsidR="00E8553C" w:rsidRDefault="0063268E">
      <w:pPr>
        <w:pStyle w:val="BodyText"/>
      </w:pPr>
      <w:r>
        <w:t xml:space="preserve">There is no real time data on fall-run redd counts. Estimates are predicted based on estimated dewatering percentages from USFWS (2006) and spring-run and fall-run spawn timing based on fresh female carcasses encountered by week from 2003 through 2022. Estimated emergence dates are based on river water temperatures during fall-run period at the CCR gauge in 2011 that most closely mimics the 2023 summer water temperatures. Fall-run dewatered redd estimates range from </w:t>
      </w:r>
      <w:r>
        <w:rPr>
          <w:b/>
          <w:bCs/>
        </w:rPr>
        <w:t>4.9</w:t>
      </w:r>
      <w:r>
        <w:t xml:space="preserve"> to </w:t>
      </w:r>
      <w:r>
        <w:rPr>
          <w:b/>
          <w:bCs/>
        </w:rPr>
        <w:t>8.7%</w:t>
      </w:r>
      <w:r>
        <w:t>.</w:t>
      </w:r>
    </w:p>
    <w:p w14:paraId="318D9DBE" w14:textId="77777777" w:rsidR="00E8553C" w:rsidRDefault="0063268E">
      <w:pPr>
        <w:pStyle w:val="Heading1"/>
      </w:pPr>
      <w:bookmarkStart w:id="2" w:name="table"/>
      <w:bookmarkEnd w:id="1"/>
      <w:bookmarkEnd w:id="0"/>
      <w:r>
        <w:t>Table</w:t>
      </w:r>
    </w:p>
    <w:p w14:paraId="318D9DBF" w14:textId="77777777" w:rsidR="00E8553C" w:rsidRDefault="0063268E">
      <w:pPr>
        <w:pStyle w:val="FirstParagraph"/>
      </w:pPr>
      <w:r>
        <w:rPr>
          <w:b/>
          <w:bCs/>
        </w:rPr>
        <w:t>Table 2.</w:t>
      </w:r>
      <w:r>
        <w:t xml:space="preserve"> Average September and October Keswick (KES) Flow in cfs, total water volume of each alternative for August through October and September through February in TAF, estimated numbers of SRWC redds dewatered, and percent of population that would be lost under each of the proposed alternatives. KES Flow data uses actual flow-to-date as of 2023-08-31 and proposed flows for the remainder of the incubation period. Redd dewatering is considered at the actual or estimated dewatering flow and with a 250 cfs buffer applied to the actual/estimated dewatering flow. Percentage of the population lost is based on the August 31, 2023 count of 354 Winter-run redds and updated redd counts may be available soon. See Scenario Descriptions file for additional information on each scenario.</w:t>
      </w:r>
    </w:p>
    <w:tbl>
      <w:tblPr>
        <w:tblStyle w:val="Table"/>
        <w:tblW w:w="5000" w:type="pct"/>
        <w:tblLook w:val="0020" w:firstRow="1" w:lastRow="0" w:firstColumn="0" w:lastColumn="0" w:noHBand="0" w:noVBand="0"/>
      </w:tblPr>
      <w:tblGrid>
        <w:gridCol w:w="4732"/>
        <w:gridCol w:w="800"/>
        <w:gridCol w:w="812"/>
        <w:gridCol w:w="758"/>
        <w:gridCol w:w="820"/>
        <w:gridCol w:w="760"/>
        <w:gridCol w:w="894"/>
      </w:tblGrid>
      <w:tr w:rsidR="00E8553C" w14:paraId="318D9DC7" w14:textId="77777777" w:rsidTr="00E8553C">
        <w:trPr>
          <w:cnfStyle w:val="100000000000" w:firstRow="1" w:lastRow="0" w:firstColumn="0" w:lastColumn="0" w:oddVBand="0" w:evenVBand="0" w:oddHBand="0" w:evenHBand="0" w:firstRowFirstColumn="0" w:firstRowLastColumn="0" w:lastRowFirstColumn="0" w:lastRowLastColumn="0"/>
          <w:tblHeader/>
        </w:trPr>
        <w:tc>
          <w:tcPr>
            <w:tcW w:w="0" w:type="auto"/>
          </w:tcPr>
          <w:p w14:paraId="318D9DC0" w14:textId="77777777" w:rsidR="00E8553C" w:rsidRDefault="0063268E">
            <w:pPr>
              <w:pStyle w:val="Compact"/>
            </w:pPr>
            <w:r>
              <w:t>Metric</w:t>
            </w:r>
          </w:p>
        </w:tc>
        <w:tc>
          <w:tcPr>
            <w:tcW w:w="0" w:type="auto"/>
          </w:tcPr>
          <w:p w14:paraId="318D9DC1" w14:textId="77777777" w:rsidR="00E8553C" w:rsidRDefault="0063268E">
            <w:pPr>
              <w:pStyle w:val="Compact"/>
            </w:pPr>
            <w:r>
              <w:t>Alt.1c</w:t>
            </w:r>
          </w:p>
        </w:tc>
        <w:tc>
          <w:tcPr>
            <w:tcW w:w="0" w:type="auto"/>
          </w:tcPr>
          <w:p w14:paraId="318D9DC2" w14:textId="77777777" w:rsidR="00E8553C" w:rsidRDefault="0063268E">
            <w:pPr>
              <w:pStyle w:val="Compact"/>
            </w:pPr>
            <w:r>
              <w:t>Alt.2e</w:t>
            </w:r>
          </w:p>
        </w:tc>
        <w:tc>
          <w:tcPr>
            <w:tcW w:w="0" w:type="auto"/>
          </w:tcPr>
          <w:p w14:paraId="318D9DC3" w14:textId="77777777" w:rsidR="00E8553C" w:rsidRDefault="0063268E">
            <w:pPr>
              <w:pStyle w:val="Compact"/>
            </w:pPr>
            <w:r>
              <w:t>Alt.3j</w:t>
            </w:r>
          </w:p>
        </w:tc>
        <w:tc>
          <w:tcPr>
            <w:tcW w:w="0" w:type="auto"/>
          </w:tcPr>
          <w:p w14:paraId="318D9DC4" w14:textId="77777777" w:rsidR="00E8553C" w:rsidRDefault="0063268E">
            <w:pPr>
              <w:pStyle w:val="Compact"/>
            </w:pPr>
            <w:r>
              <w:t>Alt.3k</w:t>
            </w:r>
          </w:p>
        </w:tc>
        <w:tc>
          <w:tcPr>
            <w:tcW w:w="0" w:type="auto"/>
          </w:tcPr>
          <w:p w14:paraId="318D9DC5" w14:textId="77777777" w:rsidR="00E8553C" w:rsidRDefault="0063268E">
            <w:pPr>
              <w:pStyle w:val="Compact"/>
            </w:pPr>
            <w:r>
              <w:t>Alt.3l</w:t>
            </w:r>
          </w:p>
        </w:tc>
        <w:tc>
          <w:tcPr>
            <w:tcW w:w="0" w:type="auto"/>
          </w:tcPr>
          <w:p w14:paraId="318D9DC6" w14:textId="77777777" w:rsidR="00E8553C" w:rsidRDefault="0063268E">
            <w:pPr>
              <w:pStyle w:val="Compact"/>
            </w:pPr>
            <w:r>
              <w:t>Alt.3m</w:t>
            </w:r>
          </w:p>
        </w:tc>
      </w:tr>
      <w:tr w:rsidR="00E8553C" w14:paraId="318D9DCF" w14:textId="77777777">
        <w:tc>
          <w:tcPr>
            <w:tcW w:w="0" w:type="auto"/>
          </w:tcPr>
          <w:p w14:paraId="318D9DC8" w14:textId="77777777" w:rsidR="00E8553C" w:rsidRDefault="0063268E">
            <w:pPr>
              <w:pStyle w:val="Compact"/>
            </w:pPr>
            <w:r>
              <w:t>Avg Sept Flow (cfs)</w:t>
            </w:r>
          </w:p>
        </w:tc>
        <w:tc>
          <w:tcPr>
            <w:tcW w:w="0" w:type="auto"/>
          </w:tcPr>
          <w:p w14:paraId="318D9DC9" w14:textId="77777777" w:rsidR="00E8553C" w:rsidRDefault="0063268E">
            <w:pPr>
              <w:pStyle w:val="Compact"/>
            </w:pPr>
            <w:r>
              <w:t>7363</w:t>
            </w:r>
          </w:p>
        </w:tc>
        <w:tc>
          <w:tcPr>
            <w:tcW w:w="0" w:type="auto"/>
          </w:tcPr>
          <w:p w14:paraId="318D9DCA" w14:textId="77777777" w:rsidR="00E8553C" w:rsidRDefault="0063268E">
            <w:pPr>
              <w:pStyle w:val="Compact"/>
            </w:pPr>
            <w:r>
              <w:t>7300</w:t>
            </w:r>
          </w:p>
        </w:tc>
        <w:tc>
          <w:tcPr>
            <w:tcW w:w="0" w:type="auto"/>
          </w:tcPr>
          <w:p w14:paraId="318D9DCB" w14:textId="77777777" w:rsidR="00E8553C" w:rsidRDefault="0063268E">
            <w:pPr>
              <w:pStyle w:val="Compact"/>
            </w:pPr>
            <w:r>
              <w:t>7437</w:t>
            </w:r>
          </w:p>
        </w:tc>
        <w:tc>
          <w:tcPr>
            <w:tcW w:w="0" w:type="auto"/>
          </w:tcPr>
          <w:p w14:paraId="318D9DCC" w14:textId="77777777" w:rsidR="00E8553C" w:rsidRDefault="0063268E">
            <w:pPr>
              <w:pStyle w:val="Compact"/>
            </w:pPr>
            <w:r>
              <w:t>7347</w:t>
            </w:r>
          </w:p>
        </w:tc>
        <w:tc>
          <w:tcPr>
            <w:tcW w:w="0" w:type="auto"/>
          </w:tcPr>
          <w:p w14:paraId="318D9DCD" w14:textId="77777777" w:rsidR="00E8553C" w:rsidRDefault="0063268E">
            <w:pPr>
              <w:pStyle w:val="Compact"/>
            </w:pPr>
            <w:r>
              <w:t>7347</w:t>
            </w:r>
          </w:p>
        </w:tc>
        <w:tc>
          <w:tcPr>
            <w:tcW w:w="0" w:type="auto"/>
          </w:tcPr>
          <w:p w14:paraId="318D9DCE" w14:textId="77777777" w:rsidR="00E8553C" w:rsidRDefault="0063268E">
            <w:pPr>
              <w:pStyle w:val="Compact"/>
            </w:pPr>
            <w:r>
              <w:t>7347</w:t>
            </w:r>
          </w:p>
        </w:tc>
      </w:tr>
      <w:tr w:rsidR="00E8553C" w14:paraId="318D9DD7" w14:textId="77777777">
        <w:tc>
          <w:tcPr>
            <w:tcW w:w="0" w:type="auto"/>
          </w:tcPr>
          <w:p w14:paraId="318D9DD0" w14:textId="77777777" w:rsidR="00E8553C" w:rsidRDefault="0063268E">
            <w:pPr>
              <w:pStyle w:val="Compact"/>
            </w:pPr>
            <w:r>
              <w:t>Avg Oct Flow (cfs)</w:t>
            </w:r>
          </w:p>
        </w:tc>
        <w:tc>
          <w:tcPr>
            <w:tcW w:w="0" w:type="auto"/>
          </w:tcPr>
          <w:p w14:paraId="318D9DD1" w14:textId="77777777" w:rsidR="00E8553C" w:rsidRDefault="0063268E">
            <w:pPr>
              <w:pStyle w:val="Compact"/>
            </w:pPr>
            <w:r>
              <w:t>5645</w:t>
            </w:r>
          </w:p>
        </w:tc>
        <w:tc>
          <w:tcPr>
            <w:tcW w:w="0" w:type="auto"/>
          </w:tcPr>
          <w:p w14:paraId="318D9DD2" w14:textId="77777777" w:rsidR="00E8553C" w:rsidRDefault="0063268E">
            <w:pPr>
              <w:pStyle w:val="Compact"/>
            </w:pPr>
            <w:r>
              <w:t>6500</w:t>
            </w:r>
          </w:p>
        </w:tc>
        <w:tc>
          <w:tcPr>
            <w:tcW w:w="0" w:type="auto"/>
          </w:tcPr>
          <w:p w14:paraId="318D9DD3" w14:textId="77777777" w:rsidR="00E8553C" w:rsidRDefault="0063268E">
            <w:pPr>
              <w:pStyle w:val="Compact"/>
            </w:pPr>
            <w:r>
              <w:t>6006</w:t>
            </w:r>
          </w:p>
        </w:tc>
        <w:tc>
          <w:tcPr>
            <w:tcW w:w="0" w:type="auto"/>
          </w:tcPr>
          <w:p w14:paraId="318D9DD4" w14:textId="77777777" w:rsidR="00E8553C" w:rsidRDefault="0063268E">
            <w:pPr>
              <w:pStyle w:val="Compact"/>
            </w:pPr>
            <w:r>
              <w:t>6600</w:t>
            </w:r>
          </w:p>
        </w:tc>
        <w:tc>
          <w:tcPr>
            <w:tcW w:w="0" w:type="auto"/>
          </w:tcPr>
          <w:p w14:paraId="318D9DD5" w14:textId="77777777" w:rsidR="00E8553C" w:rsidRDefault="0063268E">
            <w:pPr>
              <w:pStyle w:val="Compact"/>
            </w:pPr>
            <w:r>
              <w:t>6452</w:t>
            </w:r>
          </w:p>
        </w:tc>
        <w:tc>
          <w:tcPr>
            <w:tcW w:w="0" w:type="auto"/>
          </w:tcPr>
          <w:p w14:paraId="318D9DD6" w14:textId="77777777" w:rsidR="00E8553C" w:rsidRDefault="0063268E">
            <w:pPr>
              <w:pStyle w:val="Compact"/>
            </w:pPr>
            <w:r>
              <w:t>6361</w:t>
            </w:r>
          </w:p>
        </w:tc>
      </w:tr>
      <w:tr w:rsidR="00E8553C" w14:paraId="318D9DDF" w14:textId="77777777">
        <w:tc>
          <w:tcPr>
            <w:tcW w:w="0" w:type="auto"/>
          </w:tcPr>
          <w:p w14:paraId="318D9DD8" w14:textId="77777777" w:rsidR="00E8553C" w:rsidRDefault="0063268E">
            <w:pPr>
              <w:pStyle w:val="Compact"/>
            </w:pPr>
            <w:r>
              <w:t>Sept-Feb Total Volume (TAF)</w:t>
            </w:r>
          </w:p>
        </w:tc>
        <w:tc>
          <w:tcPr>
            <w:tcW w:w="0" w:type="auto"/>
          </w:tcPr>
          <w:p w14:paraId="318D9DD9" w14:textId="77777777" w:rsidR="00E8553C" w:rsidRDefault="0063268E">
            <w:pPr>
              <w:pStyle w:val="Compact"/>
            </w:pPr>
            <w:r>
              <w:t>2395</w:t>
            </w:r>
          </w:p>
        </w:tc>
        <w:tc>
          <w:tcPr>
            <w:tcW w:w="0" w:type="auto"/>
          </w:tcPr>
          <w:p w14:paraId="318D9DDA" w14:textId="77777777" w:rsidR="00E8553C" w:rsidRDefault="0063268E">
            <w:pPr>
              <w:pStyle w:val="Compact"/>
            </w:pPr>
            <w:r>
              <w:t>2063</w:t>
            </w:r>
          </w:p>
        </w:tc>
        <w:tc>
          <w:tcPr>
            <w:tcW w:w="0" w:type="auto"/>
          </w:tcPr>
          <w:p w14:paraId="318D9DDB" w14:textId="77777777" w:rsidR="00E8553C" w:rsidRDefault="0063268E">
            <w:pPr>
              <w:pStyle w:val="Compact"/>
            </w:pPr>
            <w:r>
              <w:t>2011</w:t>
            </w:r>
          </w:p>
        </w:tc>
        <w:tc>
          <w:tcPr>
            <w:tcW w:w="0" w:type="auto"/>
          </w:tcPr>
          <w:p w14:paraId="318D9DDC" w14:textId="77777777" w:rsidR="00E8553C" w:rsidRDefault="0063268E">
            <w:pPr>
              <w:pStyle w:val="Compact"/>
            </w:pPr>
            <w:r>
              <w:t>2073</w:t>
            </w:r>
          </w:p>
        </w:tc>
        <w:tc>
          <w:tcPr>
            <w:tcW w:w="0" w:type="auto"/>
          </w:tcPr>
          <w:p w14:paraId="318D9DDD" w14:textId="77777777" w:rsidR="00E8553C" w:rsidRDefault="0063268E">
            <w:pPr>
              <w:pStyle w:val="Compact"/>
            </w:pPr>
            <w:r>
              <w:t>2043</w:t>
            </w:r>
          </w:p>
        </w:tc>
        <w:tc>
          <w:tcPr>
            <w:tcW w:w="0" w:type="auto"/>
          </w:tcPr>
          <w:p w14:paraId="318D9DDE" w14:textId="77777777" w:rsidR="00E8553C" w:rsidRDefault="0063268E">
            <w:pPr>
              <w:pStyle w:val="Compact"/>
            </w:pPr>
            <w:r>
              <w:t>2038</w:t>
            </w:r>
          </w:p>
        </w:tc>
      </w:tr>
      <w:tr w:rsidR="00E8553C" w14:paraId="318D9DE7" w14:textId="77777777">
        <w:tc>
          <w:tcPr>
            <w:tcW w:w="0" w:type="auto"/>
          </w:tcPr>
          <w:p w14:paraId="318D9DE0" w14:textId="77777777" w:rsidR="00E8553C" w:rsidRDefault="0063268E">
            <w:pPr>
              <w:pStyle w:val="Compact"/>
            </w:pPr>
            <w:r>
              <w:t>Aug-Oct Total Volume (TAF)</w:t>
            </w:r>
          </w:p>
        </w:tc>
        <w:tc>
          <w:tcPr>
            <w:tcW w:w="0" w:type="auto"/>
          </w:tcPr>
          <w:p w14:paraId="318D9DE1" w14:textId="77777777" w:rsidR="00E8553C" w:rsidRDefault="0063268E">
            <w:pPr>
              <w:pStyle w:val="Compact"/>
            </w:pPr>
            <w:r>
              <w:t>1392</w:t>
            </w:r>
          </w:p>
        </w:tc>
        <w:tc>
          <w:tcPr>
            <w:tcW w:w="0" w:type="auto"/>
          </w:tcPr>
          <w:p w14:paraId="318D9DE2" w14:textId="77777777" w:rsidR="00E8553C" w:rsidRDefault="0063268E">
            <w:pPr>
              <w:pStyle w:val="Compact"/>
            </w:pPr>
            <w:r>
              <w:t>1441</w:t>
            </w:r>
          </w:p>
        </w:tc>
        <w:tc>
          <w:tcPr>
            <w:tcW w:w="0" w:type="auto"/>
          </w:tcPr>
          <w:p w14:paraId="318D9DE3" w14:textId="77777777" w:rsidR="00E8553C" w:rsidRDefault="0063268E">
            <w:pPr>
              <w:pStyle w:val="Compact"/>
            </w:pPr>
            <w:r>
              <w:t>1423</w:t>
            </w:r>
          </w:p>
        </w:tc>
        <w:tc>
          <w:tcPr>
            <w:tcW w:w="0" w:type="auto"/>
          </w:tcPr>
          <w:p w14:paraId="318D9DE4" w14:textId="77777777" w:rsidR="00E8553C" w:rsidRDefault="0063268E">
            <w:pPr>
              <w:pStyle w:val="Compact"/>
            </w:pPr>
            <w:r>
              <w:t>1450</w:t>
            </w:r>
          </w:p>
        </w:tc>
        <w:tc>
          <w:tcPr>
            <w:tcW w:w="0" w:type="auto"/>
          </w:tcPr>
          <w:p w14:paraId="318D9DE5" w14:textId="77777777" w:rsidR="00E8553C" w:rsidRDefault="0063268E">
            <w:pPr>
              <w:pStyle w:val="Compact"/>
            </w:pPr>
            <w:r>
              <w:t>1441</w:t>
            </w:r>
          </w:p>
        </w:tc>
        <w:tc>
          <w:tcPr>
            <w:tcW w:w="0" w:type="auto"/>
          </w:tcPr>
          <w:p w14:paraId="318D9DE6" w14:textId="77777777" w:rsidR="00E8553C" w:rsidRDefault="0063268E">
            <w:pPr>
              <w:pStyle w:val="Compact"/>
            </w:pPr>
            <w:r>
              <w:t>1435</w:t>
            </w:r>
          </w:p>
        </w:tc>
      </w:tr>
      <w:tr w:rsidR="00E8553C" w14:paraId="318D9DEF" w14:textId="77777777">
        <w:tc>
          <w:tcPr>
            <w:tcW w:w="0" w:type="auto"/>
          </w:tcPr>
          <w:p w14:paraId="318D9DE8" w14:textId="77777777" w:rsidR="00E8553C" w:rsidRDefault="0063268E">
            <w:pPr>
              <w:pStyle w:val="Compact"/>
            </w:pPr>
            <w:r>
              <w:t>Winter-run Redds dewatered</w:t>
            </w:r>
          </w:p>
        </w:tc>
        <w:tc>
          <w:tcPr>
            <w:tcW w:w="0" w:type="auto"/>
          </w:tcPr>
          <w:p w14:paraId="318D9DE9" w14:textId="77777777" w:rsidR="00E8553C" w:rsidRDefault="0063268E">
            <w:pPr>
              <w:pStyle w:val="Compact"/>
            </w:pPr>
            <w:r>
              <w:t>6</w:t>
            </w:r>
          </w:p>
        </w:tc>
        <w:tc>
          <w:tcPr>
            <w:tcW w:w="0" w:type="auto"/>
          </w:tcPr>
          <w:p w14:paraId="318D9DEA" w14:textId="77777777" w:rsidR="00E8553C" w:rsidRDefault="0063268E">
            <w:pPr>
              <w:pStyle w:val="Compact"/>
            </w:pPr>
            <w:r>
              <w:t>2</w:t>
            </w:r>
          </w:p>
        </w:tc>
        <w:tc>
          <w:tcPr>
            <w:tcW w:w="0" w:type="auto"/>
          </w:tcPr>
          <w:p w14:paraId="318D9DEB" w14:textId="77777777" w:rsidR="00E8553C" w:rsidRDefault="0063268E">
            <w:pPr>
              <w:pStyle w:val="Compact"/>
            </w:pPr>
            <w:r>
              <w:t>6</w:t>
            </w:r>
          </w:p>
        </w:tc>
        <w:tc>
          <w:tcPr>
            <w:tcW w:w="0" w:type="auto"/>
          </w:tcPr>
          <w:p w14:paraId="318D9DEC" w14:textId="77777777" w:rsidR="00E8553C" w:rsidRDefault="0063268E">
            <w:pPr>
              <w:pStyle w:val="Compact"/>
            </w:pPr>
            <w:r>
              <w:t>2</w:t>
            </w:r>
          </w:p>
        </w:tc>
        <w:tc>
          <w:tcPr>
            <w:tcW w:w="0" w:type="auto"/>
          </w:tcPr>
          <w:p w14:paraId="318D9DED" w14:textId="77777777" w:rsidR="00E8553C" w:rsidRDefault="0063268E">
            <w:pPr>
              <w:pStyle w:val="Compact"/>
            </w:pPr>
            <w:r>
              <w:t>2</w:t>
            </w:r>
          </w:p>
        </w:tc>
        <w:tc>
          <w:tcPr>
            <w:tcW w:w="0" w:type="auto"/>
          </w:tcPr>
          <w:p w14:paraId="318D9DEE" w14:textId="77777777" w:rsidR="00E8553C" w:rsidRDefault="0063268E">
            <w:pPr>
              <w:pStyle w:val="Compact"/>
            </w:pPr>
            <w:r>
              <w:t>2</w:t>
            </w:r>
          </w:p>
        </w:tc>
      </w:tr>
      <w:tr w:rsidR="00E8553C" w14:paraId="318D9DF7" w14:textId="77777777">
        <w:tc>
          <w:tcPr>
            <w:tcW w:w="0" w:type="auto"/>
          </w:tcPr>
          <w:p w14:paraId="318D9DF0" w14:textId="77777777" w:rsidR="00E8553C" w:rsidRDefault="0063268E">
            <w:pPr>
              <w:pStyle w:val="Compact"/>
            </w:pPr>
            <w:r>
              <w:t>Winter-run Percent Lost (based on current count)</w:t>
            </w:r>
          </w:p>
        </w:tc>
        <w:tc>
          <w:tcPr>
            <w:tcW w:w="0" w:type="auto"/>
          </w:tcPr>
          <w:p w14:paraId="318D9DF1" w14:textId="77777777" w:rsidR="00E8553C" w:rsidRDefault="0063268E">
            <w:pPr>
              <w:pStyle w:val="Compact"/>
            </w:pPr>
            <w:r>
              <w:t>1.7</w:t>
            </w:r>
          </w:p>
        </w:tc>
        <w:tc>
          <w:tcPr>
            <w:tcW w:w="0" w:type="auto"/>
          </w:tcPr>
          <w:p w14:paraId="318D9DF2" w14:textId="77777777" w:rsidR="00E8553C" w:rsidRDefault="0063268E">
            <w:pPr>
              <w:pStyle w:val="Compact"/>
            </w:pPr>
            <w:r>
              <w:t>0.6</w:t>
            </w:r>
          </w:p>
        </w:tc>
        <w:tc>
          <w:tcPr>
            <w:tcW w:w="0" w:type="auto"/>
          </w:tcPr>
          <w:p w14:paraId="318D9DF3" w14:textId="77777777" w:rsidR="00E8553C" w:rsidRDefault="0063268E">
            <w:pPr>
              <w:pStyle w:val="Compact"/>
            </w:pPr>
            <w:r>
              <w:t>1.7</w:t>
            </w:r>
          </w:p>
        </w:tc>
        <w:tc>
          <w:tcPr>
            <w:tcW w:w="0" w:type="auto"/>
          </w:tcPr>
          <w:p w14:paraId="318D9DF4" w14:textId="77777777" w:rsidR="00E8553C" w:rsidRDefault="0063268E">
            <w:pPr>
              <w:pStyle w:val="Compact"/>
            </w:pPr>
            <w:r>
              <w:t>0.6</w:t>
            </w:r>
          </w:p>
        </w:tc>
        <w:tc>
          <w:tcPr>
            <w:tcW w:w="0" w:type="auto"/>
          </w:tcPr>
          <w:p w14:paraId="318D9DF5" w14:textId="77777777" w:rsidR="00E8553C" w:rsidRDefault="0063268E">
            <w:pPr>
              <w:pStyle w:val="Compact"/>
            </w:pPr>
            <w:r>
              <w:t>0.6</w:t>
            </w:r>
          </w:p>
        </w:tc>
        <w:tc>
          <w:tcPr>
            <w:tcW w:w="0" w:type="auto"/>
          </w:tcPr>
          <w:p w14:paraId="318D9DF6" w14:textId="77777777" w:rsidR="00E8553C" w:rsidRDefault="0063268E">
            <w:pPr>
              <w:pStyle w:val="Compact"/>
            </w:pPr>
            <w:r>
              <w:t>0.6</w:t>
            </w:r>
          </w:p>
        </w:tc>
      </w:tr>
      <w:tr w:rsidR="00E8553C" w14:paraId="318D9DFF" w14:textId="77777777">
        <w:tc>
          <w:tcPr>
            <w:tcW w:w="0" w:type="auto"/>
          </w:tcPr>
          <w:p w14:paraId="318D9DF8" w14:textId="77777777" w:rsidR="00E8553C" w:rsidRDefault="0063268E">
            <w:pPr>
              <w:pStyle w:val="Compact"/>
            </w:pPr>
            <w:r>
              <w:t>Winter-run Percent Lost (based on this year’s anticipated expansion of 3)</w:t>
            </w:r>
          </w:p>
        </w:tc>
        <w:tc>
          <w:tcPr>
            <w:tcW w:w="0" w:type="auto"/>
          </w:tcPr>
          <w:p w14:paraId="318D9DF9" w14:textId="77777777" w:rsidR="00E8553C" w:rsidRDefault="0063268E">
            <w:pPr>
              <w:pStyle w:val="Compact"/>
            </w:pPr>
            <w:r>
              <w:t>0.6</w:t>
            </w:r>
          </w:p>
        </w:tc>
        <w:tc>
          <w:tcPr>
            <w:tcW w:w="0" w:type="auto"/>
          </w:tcPr>
          <w:p w14:paraId="318D9DFA" w14:textId="77777777" w:rsidR="00E8553C" w:rsidRDefault="0063268E">
            <w:pPr>
              <w:pStyle w:val="Compact"/>
            </w:pPr>
            <w:r>
              <w:t>0.2</w:t>
            </w:r>
          </w:p>
        </w:tc>
        <w:tc>
          <w:tcPr>
            <w:tcW w:w="0" w:type="auto"/>
          </w:tcPr>
          <w:p w14:paraId="318D9DFB" w14:textId="77777777" w:rsidR="00E8553C" w:rsidRDefault="0063268E">
            <w:pPr>
              <w:pStyle w:val="Compact"/>
            </w:pPr>
            <w:r>
              <w:t>0.6</w:t>
            </w:r>
          </w:p>
        </w:tc>
        <w:tc>
          <w:tcPr>
            <w:tcW w:w="0" w:type="auto"/>
          </w:tcPr>
          <w:p w14:paraId="318D9DFC" w14:textId="77777777" w:rsidR="00E8553C" w:rsidRDefault="0063268E">
            <w:pPr>
              <w:pStyle w:val="Compact"/>
            </w:pPr>
            <w:r>
              <w:t>0.2</w:t>
            </w:r>
          </w:p>
        </w:tc>
        <w:tc>
          <w:tcPr>
            <w:tcW w:w="0" w:type="auto"/>
          </w:tcPr>
          <w:p w14:paraId="318D9DFD" w14:textId="77777777" w:rsidR="00E8553C" w:rsidRDefault="0063268E">
            <w:pPr>
              <w:pStyle w:val="Compact"/>
            </w:pPr>
            <w:r>
              <w:t>0.2</w:t>
            </w:r>
          </w:p>
        </w:tc>
        <w:tc>
          <w:tcPr>
            <w:tcW w:w="0" w:type="auto"/>
          </w:tcPr>
          <w:p w14:paraId="318D9DFE" w14:textId="77777777" w:rsidR="00E8553C" w:rsidRDefault="0063268E">
            <w:pPr>
              <w:pStyle w:val="Compact"/>
            </w:pPr>
            <w:r>
              <w:t>0.2</w:t>
            </w:r>
          </w:p>
        </w:tc>
      </w:tr>
      <w:tr w:rsidR="00E8553C" w14:paraId="318D9E07" w14:textId="77777777">
        <w:tc>
          <w:tcPr>
            <w:tcW w:w="0" w:type="auto"/>
          </w:tcPr>
          <w:p w14:paraId="318D9E00" w14:textId="77777777" w:rsidR="00E8553C" w:rsidRDefault="0063268E">
            <w:pPr>
              <w:pStyle w:val="Compact"/>
            </w:pPr>
            <w:r>
              <w:t>Winter-run Percent Lost (based on average expansion of 1.98)</w:t>
            </w:r>
          </w:p>
        </w:tc>
        <w:tc>
          <w:tcPr>
            <w:tcW w:w="0" w:type="auto"/>
          </w:tcPr>
          <w:p w14:paraId="318D9E01" w14:textId="77777777" w:rsidR="00E8553C" w:rsidRDefault="0063268E">
            <w:pPr>
              <w:pStyle w:val="Compact"/>
            </w:pPr>
            <w:r>
              <w:t>0.9</w:t>
            </w:r>
          </w:p>
        </w:tc>
        <w:tc>
          <w:tcPr>
            <w:tcW w:w="0" w:type="auto"/>
          </w:tcPr>
          <w:p w14:paraId="318D9E02" w14:textId="77777777" w:rsidR="00E8553C" w:rsidRDefault="0063268E">
            <w:pPr>
              <w:pStyle w:val="Compact"/>
            </w:pPr>
            <w:r>
              <w:t>0.3</w:t>
            </w:r>
          </w:p>
        </w:tc>
        <w:tc>
          <w:tcPr>
            <w:tcW w:w="0" w:type="auto"/>
          </w:tcPr>
          <w:p w14:paraId="318D9E03" w14:textId="77777777" w:rsidR="00E8553C" w:rsidRDefault="0063268E">
            <w:pPr>
              <w:pStyle w:val="Compact"/>
            </w:pPr>
            <w:r>
              <w:t>0.9</w:t>
            </w:r>
          </w:p>
        </w:tc>
        <w:tc>
          <w:tcPr>
            <w:tcW w:w="0" w:type="auto"/>
          </w:tcPr>
          <w:p w14:paraId="318D9E04" w14:textId="77777777" w:rsidR="00E8553C" w:rsidRDefault="0063268E">
            <w:pPr>
              <w:pStyle w:val="Compact"/>
            </w:pPr>
            <w:r>
              <w:t>0.3</w:t>
            </w:r>
          </w:p>
        </w:tc>
        <w:tc>
          <w:tcPr>
            <w:tcW w:w="0" w:type="auto"/>
          </w:tcPr>
          <w:p w14:paraId="318D9E05" w14:textId="77777777" w:rsidR="00E8553C" w:rsidRDefault="0063268E">
            <w:pPr>
              <w:pStyle w:val="Compact"/>
            </w:pPr>
            <w:r>
              <w:t>0.3</w:t>
            </w:r>
          </w:p>
        </w:tc>
        <w:tc>
          <w:tcPr>
            <w:tcW w:w="0" w:type="auto"/>
          </w:tcPr>
          <w:p w14:paraId="318D9E06" w14:textId="77777777" w:rsidR="00E8553C" w:rsidRDefault="0063268E">
            <w:pPr>
              <w:pStyle w:val="Compact"/>
            </w:pPr>
            <w:r>
              <w:t>0.3</w:t>
            </w:r>
          </w:p>
        </w:tc>
      </w:tr>
      <w:tr w:rsidR="00E8553C" w14:paraId="318D9E0F" w14:textId="77777777">
        <w:tc>
          <w:tcPr>
            <w:tcW w:w="0" w:type="auto"/>
          </w:tcPr>
          <w:p w14:paraId="318D9E08" w14:textId="77777777" w:rsidR="00E8553C" w:rsidRDefault="0063268E">
            <w:pPr>
              <w:pStyle w:val="Compact"/>
            </w:pPr>
            <w:r>
              <w:t>Winter-run Percent Lost (based on maximum expansion of 3.45)</w:t>
            </w:r>
          </w:p>
        </w:tc>
        <w:tc>
          <w:tcPr>
            <w:tcW w:w="0" w:type="auto"/>
          </w:tcPr>
          <w:p w14:paraId="318D9E09" w14:textId="77777777" w:rsidR="00E8553C" w:rsidRDefault="0063268E">
            <w:pPr>
              <w:pStyle w:val="Compact"/>
            </w:pPr>
            <w:r>
              <w:t>0.5</w:t>
            </w:r>
          </w:p>
        </w:tc>
        <w:tc>
          <w:tcPr>
            <w:tcW w:w="0" w:type="auto"/>
          </w:tcPr>
          <w:p w14:paraId="318D9E0A" w14:textId="77777777" w:rsidR="00E8553C" w:rsidRDefault="0063268E">
            <w:pPr>
              <w:pStyle w:val="Compact"/>
            </w:pPr>
            <w:r>
              <w:t>0.2</w:t>
            </w:r>
          </w:p>
        </w:tc>
        <w:tc>
          <w:tcPr>
            <w:tcW w:w="0" w:type="auto"/>
          </w:tcPr>
          <w:p w14:paraId="318D9E0B" w14:textId="77777777" w:rsidR="00E8553C" w:rsidRDefault="0063268E">
            <w:pPr>
              <w:pStyle w:val="Compact"/>
            </w:pPr>
            <w:r>
              <w:t>0.5</w:t>
            </w:r>
          </w:p>
        </w:tc>
        <w:tc>
          <w:tcPr>
            <w:tcW w:w="0" w:type="auto"/>
          </w:tcPr>
          <w:p w14:paraId="318D9E0C" w14:textId="77777777" w:rsidR="00E8553C" w:rsidRDefault="0063268E">
            <w:pPr>
              <w:pStyle w:val="Compact"/>
            </w:pPr>
            <w:r>
              <w:t>0.2</w:t>
            </w:r>
          </w:p>
        </w:tc>
        <w:tc>
          <w:tcPr>
            <w:tcW w:w="0" w:type="auto"/>
          </w:tcPr>
          <w:p w14:paraId="318D9E0D" w14:textId="77777777" w:rsidR="00E8553C" w:rsidRDefault="0063268E">
            <w:pPr>
              <w:pStyle w:val="Compact"/>
            </w:pPr>
            <w:r>
              <w:t>0.2</w:t>
            </w:r>
          </w:p>
        </w:tc>
        <w:tc>
          <w:tcPr>
            <w:tcW w:w="0" w:type="auto"/>
          </w:tcPr>
          <w:p w14:paraId="318D9E0E" w14:textId="77777777" w:rsidR="00E8553C" w:rsidRDefault="0063268E">
            <w:pPr>
              <w:pStyle w:val="Compact"/>
            </w:pPr>
            <w:r>
              <w:t>0.2</w:t>
            </w:r>
          </w:p>
        </w:tc>
      </w:tr>
      <w:tr w:rsidR="00E8553C" w14:paraId="318D9E17" w14:textId="77777777">
        <w:tc>
          <w:tcPr>
            <w:tcW w:w="0" w:type="auto"/>
          </w:tcPr>
          <w:p w14:paraId="318D9E10" w14:textId="77777777" w:rsidR="00E8553C" w:rsidRDefault="0063268E">
            <w:pPr>
              <w:pStyle w:val="Compact"/>
            </w:pPr>
            <w:r>
              <w:t>Winter-run Percent Lost (based on minimum expansion of 1.25)</w:t>
            </w:r>
          </w:p>
        </w:tc>
        <w:tc>
          <w:tcPr>
            <w:tcW w:w="0" w:type="auto"/>
          </w:tcPr>
          <w:p w14:paraId="318D9E11" w14:textId="77777777" w:rsidR="00E8553C" w:rsidRDefault="0063268E">
            <w:pPr>
              <w:pStyle w:val="Compact"/>
            </w:pPr>
            <w:r>
              <w:t>1.4</w:t>
            </w:r>
          </w:p>
        </w:tc>
        <w:tc>
          <w:tcPr>
            <w:tcW w:w="0" w:type="auto"/>
          </w:tcPr>
          <w:p w14:paraId="318D9E12" w14:textId="77777777" w:rsidR="00E8553C" w:rsidRDefault="0063268E">
            <w:pPr>
              <w:pStyle w:val="Compact"/>
            </w:pPr>
            <w:r>
              <w:t>0.5</w:t>
            </w:r>
          </w:p>
        </w:tc>
        <w:tc>
          <w:tcPr>
            <w:tcW w:w="0" w:type="auto"/>
          </w:tcPr>
          <w:p w14:paraId="318D9E13" w14:textId="77777777" w:rsidR="00E8553C" w:rsidRDefault="0063268E">
            <w:pPr>
              <w:pStyle w:val="Compact"/>
            </w:pPr>
            <w:r>
              <w:t>1.4</w:t>
            </w:r>
          </w:p>
        </w:tc>
        <w:tc>
          <w:tcPr>
            <w:tcW w:w="0" w:type="auto"/>
          </w:tcPr>
          <w:p w14:paraId="318D9E14" w14:textId="77777777" w:rsidR="00E8553C" w:rsidRDefault="0063268E">
            <w:pPr>
              <w:pStyle w:val="Compact"/>
            </w:pPr>
            <w:r>
              <w:t>0.5</w:t>
            </w:r>
          </w:p>
        </w:tc>
        <w:tc>
          <w:tcPr>
            <w:tcW w:w="0" w:type="auto"/>
          </w:tcPr>
          <w:p w14:paraId="318D9E15" w14:textId="77777777" w:rsidR="00E8553C" w:rsidRDefault="0063268E">
            <w:pPr>
              <w:pStyle w:val="Compact"/>
            </w:pPr>
            <w:r>
              <w:t>0.5</w:t>
            </w:r>
          </w:p>
        </w:tc>
        <w:tc>
          <w:tcPr>
            <w:tcW w:w="0" w:type="auto"/>
          </w:tcPr>
          <w:p w14:paraId="318D9E16" w14:textId="77777777" w:rsidR="00E8553C" w:rsidRDefault="0063268E">
            <w:pPr>
              <w:pStyle w:val="Compact"/>
            </w:pPr>
            <w:r>
              <w:t>0.5</w:t>
            </w:r>
          </w:p>
        </w:tc>
      </w:tr>
      <w:tr w:rsidR="00E8553C" w14:paraId="318D9E1F" w14:textId="77777777">
        <w:tc>
          <w:tcPr>
            <w:tcW w:w="0" w:type="auto"/>
          </w:tcPr>
          <w:p w14:paraId="318D9E18" w14:textId="77777777" w:rsidR="00E8553C" w:rsidRDefault="0063268E">
            <w:pPr>
              <w:pStyle w:val="Compact"/>
            </w:pPr>
            <w:r>
              <w:t>Winter-run Redds Dewatered (w/ 250 cfs buffer)</w:t>
            </w:r>
          </w:p>
        </w:tc>
        <w:tc>
          <w:tcPr>
            <w:tcW w:w="0" w:type="auto"/>
          </w:tcPr>
          <w:p w14:paraId="318D9E19" w14:textId="77777777" w:rsidR="00E8553C" w:rsidRDefault="0063268E">
            <w:pPr>
              <w:pStyle w:val="Compact"/>
            </w:pPr>
            <w:r>
              <w:t>6</w:t>
            </w:r>
          </w:p>
        </w:tc>
        <w:tc>
          <w:tcPr>
            <w:tcW w:w="0" w:type="auto"/>
          </w:tcPr>
          <w:p w14:paraId="318D9E1A" w14:textId="77777777" w:rsidR="00E8553C" w:rsidRDefault="0063268E">
            <w:pPr>
              <w:pStyle w:val="Compact"/>
            </w:pPr>
            <w:r>
              <w:t>2</w:t>
            </w:r>
          </w:p>
        </w:tc>
        <w:tc>
          <w:tcPr>
            <w:tcW w:w="0" w:type="auto"/>
          </w:tcPr>
          <w:p w14:paraId="318D9E1B" w14:textId="77777777" w:rsidR="00E8553C" w:rsidRDefault="0063268E">
            <w:pPr>
              <w:pStyle w:val="Compact"/>
            </w:pPr>
            <w:r>
              <w:t>6</w:t>
            </w:r>
          </w:p>
        </w:tc>
        <w:tc>
          <w:tcPr>
            <w:tcW w:w="0" w:type="auto"/>
          </w:tcPr>
          <w:p w14:paraId="318D9E1C" w14:textId="77777777" w:rsidR="00E8553C" w:rsidRDefault="0063268E">
            <w:pPr>
              <w:pStyle w:val="Compact"/>
            </w:pPr>
            <w:r>
              <w:t>2</w:t>
            </w:r>
          </w:p>
        </w:tc>
        <w:tc>
          <w:tcPr>
            <w:tcW w:w="0" w:type="auto"/>
          </w:tcPr>
          <w:p w14:paraId="318D9E1D" w14:textId="77777777" w:rsidR="00E8553C" w:rsidRDefault="0063268E">
            <w:pPr>
              <w:pStyle w:val="Compact"/>
            </w:pPr>
            <w:r>
              <w:t>2</w:t>
            </w:r>
          </w:p>
        </w:tc>
        <w:tc>
          <w:tcPr>
            <w:tcW w:w="0" w:type="auto"/>
          </w:tcPr>
          <w:p w14:paraId="318D9E1E" w14:textId="77777777" w:rsidR="00E8553C" w:rsidRDefault="0063268E">
            <w:pPr>
              <w:pStyle w:val="Compact"/>
            </w:pPr>
            <w:r>
              <w:t>2</w:t>
            </w:r>
          </w:p>
        </w:tc>
      </w:tr>
      <w:tr w:rsidR="00E8553C" w14:paraId="318D9E27" w14:textId="77777777">
        <w:tc>
          <w:tcPr>
            <w:tcW w:w="0" w:type="auto"/>
          </w:tcPr>
          <w:p w14:paraId="318D9E20" w14:textId="77777777" w:rsidR="00E8553C" w:rsidRDefault="0063268E">
            <w:pPr>
              <w:pStyle w:val="Compact"/>
            </w:pPr>
            <w:r>
              <w:lastRenderedPageBreak/>
              <w:t>Winter-run Percent Lost (w/ 250 cfs buffer)</w:t>
            </w:r>
          </w:p>
        </w:tc>
        <w:tc>
          <w:tcPr>
            <w:tcW w:w="0" w:type="auto"/>
          </w:tcPr>
          <w:p w14:paraId="318D9E21" w14:textId="77777777" w:rsidR="00E8553C" w:rsidRDefault="0063268E">
            <w:pPr>
              <w:pStyle w:val="Compact"/>
            </w:pPr>
            <w:r>
              <w:t>1.7</w:t>
            </w:r>
          </w:p>
        </w:tc>
        <w:tc>
          <w:tcPr>
            <w:tcW w:w="0" w:type="auto"/>
          </w:tcPr>
          <w:p w14:paraId="318D9E22" w14:textId="77777777" w:rsidR="00E8553C" w:rsidRDefault="0063268E">
            <w:pPr>
              <w:pStyle w:val="Compact"/>
            </w:pPr>
            <w:r>
              <w:t>0.6</w:t>
            </w:r>
          </w:p>
        </w:tc>
        <w:tc>
          <w:tcPr>
            <w:tcW w:w="0" w:type="auto"/>
          </w:tcPr>
          <w:p w14:paraId="318D9E23" w14:textId="77777777" w:rsidR="00E8553C" w:rsidRDefault="0063268E">
            <w:pPr>
              <w:pStyle w:val="Compact"/>
            </w:pPr>
            <w:r>
              <w:t>1.7</w:t>
            </w:r>
          </w:p>
        </w:tc>
        <w:tc>
          <w:tcPr>
            <w:tcW w:w="0" w:type="auto"/>
          </w:tcPr>
          <w:p w14:paraId="318D9E24" w14:textId="77777777" w:rsidR="00E8553C" w:rsidRDefault="0063268E">
            <w:pPr>
              <w:pStyle w:val="Compact"/>
            </w:pPr>
            <w:r>
              <w:t>0.6</w:t>
            </w:r>
          </w:p>
        </w:tc>
        <w:tc>
          <w:tcPr>
            <w:tcW w:w="0" w:type="auto"/>
          </w:tcPr>
          <w:p w14:paraId="318D9E25" w14:textId="77777777" w:rsidR="00E8553C" w:rsidRDefault="0063268E">
            <w:pPr>
              <w:pStyle w:val="Compact"/>
            </w:pPr>
            <w:r>
              <w:t>0.6</w:t>
            </w:r>
          </w:p>
        </w:tc>
        <w:tc>
          <w:tcPr>
            <w:tcW w:w="0" w:type="auto"/>
          </w:tcPr>
          <w:p w14:paraId="318D9E26" w14:textId="77777777" w:rsidR="00E8553C" w:rsidRDefault="0063268E">
            <w:pPr>
              <w:pStyle w:val="Compact"/>
            </w:pPr>
            <w:r>
              <w:t>0.6</w:t>
            </w:r>
          </w:p>
        </w:tc>
      </w:tr>
      <w:tr w:rsidR="00E8553C" w14:paraId="318D9E2F" w14:textId="77777777">
        <w:tc>
          <w:tcPr>
            <w:tcW w:w="0" w:type="auto"/>
          </w:tcPr>
          <w:p w14:paraId="318D9E28" w14:textId="77777777" w:rsidR="00E8553C" w:rsidRDefault="0063268E">
            <w:pPr>
              <w:pStyle w:val="Compact"/>
            </w:pPr>
            <w:r>
              <w:t>Fall-run dewatered (%)</w:t>
            </w:r>
          </w:p>
        </w:tc>
        <w:tc>
          <w:tcPr>
            <w:tcW w:w="0" w:type="auto"/>
          </w:tcPr>
          <w:p w14:paraId="318D9E29" w14:textId="77777777" w:rsidR="00E8553C" w:rsidRDefault="0063268E">
            <w:pPr>
              <w:pStyle w:val="Compact"/>
            </w:pPr>
            <w:r>
              <w:t>4.9</w:t>
            </w:r>
          </w:p>
        </w:tc>
        <w:tc>
          <w:tcPr>
            <w:tcW w:w="0" w:type="auto"/>
          </w:tcPr>
          <w:p w14:paraId="318D9E2A" w14:textId="77777777" w:rsidR="00E8553C" w:rsidRDefault="0063268E">
            <w:pPr>
              <w:pStyle w:val="Compact"/>
            </w:pPr>
            <w:r>
              <w:t>8.6</w:t>
            </w:r>
          </w:p>
        </w:tc>
        <w:tc>
          <w:tcPr>
            <w:tcW w:w="0" w:type="auto"/>
          </w:tcPr>
          <w:p w14:paraId="318D9E2B" w14:textId="77777777" w:rsidR="00E8553C" w:rsidRDefault="0063268E">
            <w:pPr>
              <w:pStyle w:val="Compact"/>
            </w:pPr>
            <w:r>
              <w:t>6.3</w:t>
            </w:r>
          </w:p>
        </w:tc>
        <w:tc>
          <w:tcPr>
            <w:tcW w:w="0" w:type="auto"/>
          </w:tcPr>
          <w:p w14:paraId="318D9E2C" w14:textId="77777777" w:rsidR="00E8553C" w:rsidRDefault="0063268E">
            <w:pPr>
              <w:pStyle w:val="Compact"/>
            </w:pPr>
            <w:r>
              <w:t>8.7</w:t>
            </w:r>
          </w:p>
        </w:tc>
        <w:tc>
          <w:tcPr>
            <w:tcW w:w="0" w:type="auto"/>
          </w:tcPr>
          <w:p w14:paraId="318D9E2D" w14:textId="77777777" w:rsidR="00E8553C" w:rsidRDefault="0063268E">
            <w:pPr>
              <w:pStyle w:val="Compact"/>
            </w:pPr>
            <w:r>
              <w:t>7.5</w:t>
            </w:r>
          </w:p>
        </w:tc>
        <w:tc>
          <w:tcPr>
            <w:tcW w:w="0" w:type="auto"/>
          </w:tcPr>
          <w:p w14:paraId="318D9E2E" w14:textId="77777777" w:rsidR="00E8553C" w:rsidRDefault="0063268E">
            <w:pPr>
              <w:pStyle w:val="Compact"/>
            </w:pPr>
            <w:r>
              <w:t>7.4</w:t>
            </w:r>
          </w:p>
        </w:tc>
      </w:tr>
    </w:tbl>
    <w:p w14:paraId="318D9E30" w14:textId="77777777" w:rsidR="00E8553C" w:rsidRDefault="0063268E">
      <w:pPr>
        <w:pStyle w:val="Heading1"/>
      </w:pPr>
      <w:bookmarkStart w:id="3" w:name="plots"/>
      <w:bookmarkEnd w:id="2"/>
      <w:r>
        <w:t>Plots</w:t>
      </w:r>
    </w:p>
    <w:p w14:paraId="318D9E31" w14:textId="77777777" w:rsidR="00E8553C" w:rsidRDefault="0063268E">
      <w:pPr>
        <w:pStyle w:val="FirstParagraph"/>
      </w:pPr>
      <w:r>
        <w:rPr>
          <w:noProof/>
        </w:rPr>
        <w:drawing>
          <wp:inline distT="0" distB="0" distL="0" distR="0" wp14:anchorId="318D9E35" wp14:editId="318D9E36">
            <wp:extent cx="5334000" cy="3111500"/>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Real-time-Estimates_Prelim_automated_v3_files/figure-docx/unnamed-chunk-10-1.png"/>
                    <pic:cNvPicPr>
                      <a:picLocks noChangeAspect="1" noChangeArrowheads="1"/>
                    </pic:cNvPicPr>
                  </pic:nvPicPr>
                  <pic:blipFill>
                    <a:blip r:embed="rId8"/>
                    <a:stretch>
                      <a:fillRect/>
                    </a:stretch>
                  </pic:blipFill>
                  <pic:spPr bwMode="auto">
                    <a:xfrm>
                      <a:off x="0" y="0"/>
                      <a:ext cx="5334000" cy="3111500"/>
                    </a:xfrm>
                    <a:prstGeom prst="rect">
                      <a:avLst/>
                    </a:prstGeom>
                    <a:noFill/>
                    <a:ln w="9525">
                      <a:noFill/>
                      <a:headEnd/>
                      <a:tailEnd/>
                    </a:ln>
                  </pic:spPr>
                </pic:pic>
              </a:graphicData>
            </a:graphic>
          </wp:inline>
        </w:drawing>
      </w:r>
    </w:p>
    <w:p w14:paraId="318D9E32" w14:textId="77777777" w:rsidR="00E8553C" w:rsidRDefault="0063268E">
      <w:pPr>
        <w:pStyle w:val="BodyText"/>
      </w:pPr>
      <w:r>
        <w:rPr>
          <w:b/>
          <w:bCs/>
        </w:rPr>
        <w:t>Figure 1.</w:t>
      </w:r>
      <w:r>
        <w:t xml:space="preserve"> Actual or estimated emergence dates of SRWC redds and actual or estimated dewatering flow for the September-October estimated redd emergence dates as compared to Keswick flow (in cfs) of proposed management alternatives. Points represent dewatered (De), emerged (EM), or remaining (Re) redds. Numbers inside of points indicate how many redds share that estimated emergence date and actual/estimated dewatering flow. Points that fall above/to the right of a flow alternative line are expected to be dewatered given that management alternative is followed. Points that fall below/to the left of/on a flow alternative line are not expected to be dewatered, given that management alternative is followed. Shaded gray box shows period of real-time flow data; dashed black line equals KWK gauge flow and solid black line equals KES flow (from </w:t>
      </w:r>
      <w:hyperlink r:id="rId9">
        <w:r>
          <w:rPr>
            <w:rStyle w:val="Hyperlink"/>
          </w:rPr>
          <w:t>SacPas</w:t>
        </w:r>
      </w:hyperlink>
      <w:r>
        <w:t>).</w:t>
      </w:r>
    </w:p>
    <w:p w14:paraId="318D9E33" w14:textId="77777777" w:rsidR="00E8553C" w:rsidRDefault="0063268E">
      <w:pPr>
        <w:pStyle w:val="Heading1"/>
      </w:pPr>
      <w:bookmarkStart w:id="4" w:name="references"/>
      <w:bookmarkEnd w:id="3"/>
      <w:r>
        <w:t>References</w:t>
      </w:r>
    </w:p>
    <w:p w14:paraId="318D9E34" w14:textId="77777777" w:rsidR="00E8553C" w:rsidRDefault="0063268E">
      <w:pPr>
        <w:pStyle w:val="FirstParagraph"/>
      </w:pPr>
      <w:r>
        <w:t>Gard, Mark. 2006. Relationships between flow fluctuations and redd dewatering and juvenile stranding for Chinook Salmon and Steelhead in the Sacramento River between Kesewick Dam and Battle Creek. 94 pages.</w:t>
      </w:r>
    </w:p>
    <w:bookmarkEnd w:id="4"/>
    <w:sectPr w:rsidR="00E8553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8D9E3B" w14:textId="77777777" w:rsidR="000F2E71" w:rsidRDefault="0063268E">
      <w:pPr>
        <w:spacing w:after="0"/>
      </w:pPr>
      <w:r>
        <w:separator/>
      </w:r>
    </w:p>
  </w:endnote>
  <w:endnote w:type="continuationSeparator" w:id="0">
    <w:p w14:paraId="318D9E3D" w14:textId="77777777" w:rsidR="000F2E71" w:rsidRDefault="0063268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8D9E37" w14:textId="77777777" w:rsidR="00E8553C" w:rsidRDefault="0063268E">
      <w:r>
        <w:separator/>
      </w:r>
    </w:p>
  </w:footnote>
  <w:footnote w:type="continuationSeparator" w:id="0">
    <w:p w14:paraId="318D9E38" w14:textId="77777777" w:rsidR="00E8553C" w:rsidRDefault="006326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41C4827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20726069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8553C"/>
    <w:rsid w:val="000F2E71"/>
    <w:rsid w:val="0045389B"/>
    <w:rsid w:val="0063268E"/>
    <w:rsid w:val="00E8553C"/>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D9D94"/>
  <w15:docId w15:val="{7E3F9995-29C3-4C13-9DA7-4F278917E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cc02.safelinks.protection.outlook.com/?url=https%3A%2F%2Fwww.calfish.org%2FProgramsData%2FConservationandManagement%2FCentralValleyMonitoring%2FCDFWUpperSacRiverBasinSalmonidMonitoring.aspx&amp;data=05%7C01%7Clelliott%40usbr.gov%7C689ebb9a6c8243b4f96c08da90f5c542%7C0693b5ba4b184d7b9341f32f400a5494%7C0%7C0%7C637981682646098788%7CUnknown%7CTWFpbGZsb3d8eyJWIjoiMC4wLjAwMDAiLCJQIjoiV2luMzIiLCJBTiI6Ik1haWwiLCJXVCI6Mn0%3D%7C3000%7C%7C%7C&amp;sdata=A1eQkWPxbkXxnzEvc2K8%2FTmslZ8H8zvxdks3%2F78Yrvw%3D&amp;reserved=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br.washington.edu/sacramento/data/query_river_tab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913</Words>
  <Characters>5206</Characters>
  <Application>Microsoft Office Word</Application>
  <DocSecurity>0</DocSecurity>
  <Lines>43</Lines>
  <Paragraphs>12</Paragraphs>
  <ScaleCrop>false</ScaleCrop>
  <Company/>
  <LinksUpToDate>false</LinksUpToDate>
  <CharactersWithSpaces>6107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PRELIMINARY DATA: Redd Dewatering Estimates for Keswick Fall Flow Scenarios</dc:title>
  <dc:creator>BDO Science Division</dc:creator>
  <cp:keywords/>
  <cp:lastModifiedBy>Elliott, Lisa H</cp:lastModifiedBy>
  <cp:revision>3</cp:revision>
  <dcterms:created xsi:type="dcterms:W3CDTF">2023-09-26T18:32:00Z</dcterms:created>
  <dcterms:modified xsi:type="dcterms:W3CDTF">2023-09-29T21:43:00Z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26 September, 2023</vt:lpwstr>
  </property>
  <property fmtid="{D5CDD505-2E9C-101B-9397-08002B2CF9AE}" pid="3" name="output">
    <vt:lpwstr/>
  </property>
</Properties>
</file>