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16</w:t>
      </w:r>
      <w:r>
        <w:t xml:space="preserve"> </w:t>
      </w:r>
      <w:r>
        <w:t xml:space="preserve">October,</w:t>
      </w:r>
      <w:r>
        <w:t xml:space="preserve"> </w:t>
      </w:r>
      <w:r>
        <w:t xml:space="preserve">2023</w:t>
      </w:r>
    </w:p>
    <w:p>
      <w:pPr>
        <w:pStyle w:val="FirstParagraph"/>
      </w:pPr>
      <w:r>
        <w:t xml:space="preserve">This script constructs real-time winter-run redd dewatering estimates based on most recent data available from CDFW (October 10, 2023) for winter-run data and dewatering estimates from USFWS (2006; see citation). Data are also available in 2023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2" w:name="X59d5e478ad6d807a5a74b9051fa2412e5aa8989"/>
    <w:p>
      <w:pPr>
        <w:pStyle w:val="Heading1"/>
      </w:pPr>
      <w:r>
        <w:t xml:space="preserve">Current Winter-run Chinook Salmon Redd Count</w:t>
      </w:r>
    </w:p>
    <w:p>
      <w:pPr>
        <w:pStyle w:val="FirstParagraph"/>
      </w:pPr>
      <w:r>
        <w:t xml:space="preserve">As of September 21, 2023, the unexpanded redd count is</w:t>
      </w:r>
      <w:r>
        <w:t xml:space="preserve"> </w:t>
      </w:r>
      <w:r>
        <w:rPr>
          <w:bCs/>
          <w:b/>
        </w:rPr>
        <w:t xml:space="preserve">354</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pPr>
        <w:pStyle w:val="BodyText"/>
      </w:pPr>
      <w:r>
        <w:rPr>
          <w:bCs/>
          <w:b/>
        </w:rPr>
        <w:t xml:space="preserve">Table 1.</w:t>
      </w:r>
      <w:r>
        <w:t xml:space="preserve"> </w:t>
      </w:r>
      <w:r>
        <w:t xml:space="preserve">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right"/>
            </w:pPr>
            <w:r>
              <w:t xml:space="preserve">Expansion Number</w:t>
            </w:r>
          </w:p>
        </w:tc>
        <w:tc>
          <w:tcPr/>
          <w:p>
            <w:pPr>
              <w:pStyle w:val="Compact"/>
              <w:jc w:val="right"/>
            </w:pPr>
            <w:r>
              <w:t xml:space="preserve">Total Redds</w:t>
            </w:r>
          </w:p>
        </w:tc>
        <w:tc>
          <w:tcPr/>
          <w:p>
            <w:pPr>
              <w:pStyle w:val="Compact"/>
              <w:jc w:val="right"/>
            </w:pPr>
            <w:r>
              <w:t xml:space="preserve">1%</w:t>
            </w:r>
          </w:p>
        </w:tc>
      </w:tr>
      <w:tr>
        <w:tc>
          <w:tcPr/>
          <w:p>
            <w:pPr>
              <w:pStyle w:val="Compact"/>
              <w:jc w:val="left"/>
            </w:pPr>
            <w:r>
              <w:t xml:space="preserve">Current Count</w:t>
            </w:r>
          </w:p>
        </w:tc>
        <w:tc>
          <w:tcPr/>
          <w:p>
            <w:pPr>
              <w:pStyle w:val="Compact"/>
              <w:jc w:val="right"/>
            </w:pPr>
            <w:r>
              <w:t xml:space="preserve">1.00</w:t>
            </w:r>
          </w:p>
        </w:tc>
        <w:tc>
          <w:tcPr/>
          <w:p>
            <w:pPr>
              <w:pStyle w:val="Compact"/>
              <w:jc w:val="right"/>
            </w:pPr>
            <w:r>
              <w:t xml:space="preserve">354</w:t>
            </w:r>
          </w:p>
        </w:tc>
        <w:tc>
          <w:tcPr/>
          <w:p>
            <w:pPr>
              <w:pStyle w:val="Compact"/>
              <w:jc w:val="right"/>
            </w:pPr>
            <w:r>
              <w:t xml:space="preserve">3.54</w:t>
            </w:r>
          </w:p>
        </w:tc>
      </w:tr>
      <w:tr>
        <w:tc>
          <w:tcPr/>
          <w:p>
            <w:pPr>
              <w:pStyle w:val="Compact"/>
              <w:jc w:val="left"/>
            </w:pPr>
            <w:r>
              <w:t xml:space="preserve">Average Expansion</w:t>
            </w:r>
          </w:p>
        </w:tc>
        <w:tc>
          <w:tcPr/>
          <w:p>
            <w:pPr>
              <w:pStyle w:val="Compact"/>
              <w:jc w:val="right"/>
            </w:pPr>
            <w:r>
              <w:t xml:space="preserve">1.98</w:t>
            </w:r>
          </w:p>
        </w:tc>
        <w:tc>
          <w:tcPr/>
          <w:p>
            <w:pPr>
              <w:pStyle w:val="Compact"/>
              <w:jc w:val="right"/>
            </w:pPr>
            <w:r>
              <w:t xml:space="preserve">701</w:t>
            </w:r>
          </w:p>
        </w:tc>
        <w:tc>
          <w:tcPr/>
          <w:p>
            <w:pPr>
              <w:pStyle w:val="Compact"/>
              <w:jc w:val="right"/>
            </w:pPr>
            <w:r>
              <w:t xml:space="preserve">7.01</w:t>
            </w:r>
          </w:p>
        </w:tc>
      </w:tr>
      <w:tr>
        <w:tc>
          <w:tcPr/>
          <w:p>
            <w:pPr>
              <w:pStyle w:val="Compact"/>
              <w:jc w:val="left"/>
            </w:pPr>
            <w:r>
              <w:t xml:space="preserve">Expected 2023 Expansion</w:t>
            </w:r>
          </w:p>
        </w:tc>
        <w:tc>
          <w:tcPr/>
          <w:p>
            <w:pPr>
              <w:pStyle w:val="Compact"/>
              <w:jc w:val="right"/>
            </w:pPr>
            <w:r>
              <w:t xml:space="preserve">3.00</w:t>
            </w:r>
          </w:p>
        </w:tc>
        <w:tc>
          <w:tcPr/>
          <w:p>
            <w:pPr>
              <w:pStyle w:val="Compact"/>
              <w:jc w:val="right"/>
            </w:pPr>
            <w:r>
              <w:t xml:space="preserve">1062</w:t>
            </w:r>
          </w:p>
        </w:tc>
        <w:tc>
          <w:tcPr/>
          <w:p>
            <w:pPr>
              <w:pStyle w:val="Compact"/>
              <w:jc w:val="right"/>
            </w:pPr>
            <w:r>
              <w:t xml:space="preserve">10.62</w:t>
            </w:r>
          </w:p>
        </w:tc>
      </w:tr>
      <w:tr>
        <w:tc>
          <w:tcPr/>
          <w:p>
            <w:pPr>
              <w:pStyle w:val="Compact"/>
              <w:jc w:val="left"/>
            </w:pPr>
            <w:r>
              <w:t xml:space="preserve">Maximum Expansion</w:t>
            </w:r>
          </w:p>
        </w:tc>
        <w:tc>
          <w:tcPr/>
          <w:p>
            <w:pPr>
              <w:pStyle w:val="Compact"/>
              <w:jc w:val="right"/>
            </w:pPr>
            <w:r>
              <w:t xml:space="preserve">3.45</w:t>
            </w:r>
          </w:p>
        </w:tc>
        <w:tc>
          <w:tcPr/>
          <w:p>
            <w:pPr>
              <w:pStyle w:val="Compact"/>
              <w:jc w:val="right"/>
            </w:pPr>
            <w:r>
              <w:t xml:space="preserve">1221</w:t>
            </w:r>
          </w:p>
        </w:tc>
        <w:tc>
          <w:tcPr/>
          <w:p>
            <w:pPr>
              <w:pStyle w:val="Compact"/>
              <w:jc w:val="right"/>
            </w:pPr>
            <w:r>
              <w:t xml:space="preserve">12.21</w:t>
            </w:r>
          </w:p>
        </w:tc>
      </w:tr>
      <w:tr>
        <w:tc>
          <w:tcPr/>
          <w:p>
            <w:pPr>
              <w:pStyle w:val="Compact"/>
              <w:jc w:val="left"/>
            </w:pPr>
            <w:r>
              <w:t xml:space="preserve">Minimum Expansion</w:t>
            </w:r>
          </w:p>
        </w:tc>
        <w:tc>
          <w:tcPr/>
          <w:p>
            <w:pPr>
              <w:pStyle w:val="Compact"/>
              <w:jc w:val="right"/>
            </w:pPr>
            <w:r>
              <w:t xml:space="preserve">1.25</w:t>
            </w:r>
          </w:p>
        </w:tc>
        <w:tc>
          <w:tcPr/>
          <w:p>
            <w:pPr>
              <w:pStyle w:val="Compact"/>
              <w:jc w:val="right"/>
            </w:pPr>
            <w:r>
              <w:t xml:space="preserve">442</w:t>
            </w:r>
          </w:p>
        </w:tc>
        <w:tc>
          <w:tcPr/>
          <w:p>
            <w:pPr>
              <w:pStyle w:val="Compact"/>
              <w:jc w:val="right"/>
            </w:pPr>
            <w:r>
              <w:t xml:space="preserve">4.42</w:t>
            </w:r>
          </w:p>
        </w:tc>
      </w:tr>
    </w:tbl>
    <w:bookmarkStart w:id="21" w:name="chinook-salmon-dewatered-redd-estimates"/>
    <w:p>
      <w:pPr>
        <w:pStyle w:val="Heading2"/>
      </w:pPr>
      <w:r>
        <w:t xml:space="preserve">Chinook Salmon Dewatered Redd Estimates</w:t>
      </w:r>
    </w:p>
    <w:p>
      <w:pPr>
        <w:pStyle w:val="FirstParagraph"/>
      </w:pPr>
      <w:r>
        <w:t xml:space="preserve">As of October 10, 2023,</w:t>
      </w:r>
      <w:r>
        <w:t xml:space="preserve"> </w:t>
      </w:r>
      <w:r>
        <w:rPr>
          <w:bCs/>
          <w:b/>
        </w:rPr>
        <w:t xml:space="preserve">7</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16</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w:t>
      </w:r>
      <w:r>
        <w:t xml:space="preserve"> </w:t>
      </w:r>
      <w:r>
        <w:rPr>
          <w:bCs/>
          <w:b/>
        </w:rPr>
        <w:t xml:space="preserve">4.9</w:t>
      </w:r>
      <w:r>
        <w:t xml:space="preserve"> </w:t>
      </w:r>
      <w:r>
        <w:t xml:space="preserve">to</w:t>
      </w:r>
      <w:r>
        <w:t xml:space="preserve"> </w:t>
      </w:r>
      <w:r>
        <w:rPr>
          <w:bCs/>
          <w:b/>
        </w:rPr>
        <w:t xml:space="preserve">8.4%</w:t>
      </w:r>
      <w:r>
        <w:t xml:space="preserve">.</w:t>
      </w:r>
    </w:p>
    <w:bookmarkEnd w:id="21"/>
    <w:bookmarkEnd w:id="22"/>
    <w:bookmarkStart w:id="23" w:name="table"/>
    <w:p>
      <w:pPr>
        <w:pStyle w:val="Heading1"/>
      </w:pPr>
      <w:r>
        <w:t xml:space="preserve">Table</w:t>
      </w:r>
    </w:p>
    <w:p>
      <w:pPr>
        <w:pStyle w:val="FirstParagraph"/>
      </w:pPr>
      <w:r>
        <w:rPr>
          <w:bCs/>
          <w:b/>
        </w:rPr>
        <w:t xml:space="preserve">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September 21, 2023 count of 354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5376"/>
        <w:gridCol w:w="508"/>
        <w:gridCol w:w="508"/>
        <w:gridCol w:w="508"/>
        <w:gridCol w:w="508"/>
        <w:gridCol w:w="508"/>
      </w:tblGrid>
      <w:tr>
        <w:trPr>
          <w:tblHeader w:val="true"/>
        </w:trPr>
        <w:tc>
          <w:tcPr/>
          <w:p>
            <w:pPr>
              <w:pStyle w:val="Compact"/>
              <w:jc w:val="left"/>
            </w:pPr>
            <w:r>
              <w:t xml:space="preserve">Metric</w:t>
            </w:r>
          </w:p>
        </w:tc>
        <w:tc>
          <w:tcPr/>
          <w:p>
            <w:pPr>
              <w:pStyle w:val="Compact"/>
              <w:jc w:val="left"/>
            </w:pPr>
            <w:r>
              <w:t xml:space="preserve">Alt.1c</w:t>
            </w:r>
          </w:p>
        </w:tc>
        <w:tc>
          <w:tcPr/>
          <w:p>
            <w:pPr>
              <w:pStyle w:val="Compact"/>
              <w:jc w:val="left"/>
            </w:pPr>
            <w:r>
              <w:t xml:space="preserve">Alt.2e</w:t>
            </w:r>
          </w:p>
        </w:tc>
        <w:tc>
          <w:tcPr/>
          <w:p>
            <w:pPr>
              <w:pStyle w:val="Compact"/>
              <w:jc w:val="left"/>
            </w:pPr>
            <w:r>
              <w:t xml:space="preserve">Alt.3m</w:t>
            </w:r>
          </w:p>
        </w:tc>
        <w:tc>
          <w:tcPr/>
          <w:p>
            <w:pPr>
              <w:pStyle w:val="Compact"/>
              <w:jc w:val="left"/>
            </w:pPr>
            <w:r>
              <w:t xml:space="preserve">Alt.3r</w:t>
            </w:r>
          </w:p>
        </w:tc>
        <w:tc>
          <w:tcPr/>
          <w:p>
            <w:pPr>
              <w:pStyle w:val="Compact"/>
              <w:jc w:val="left"/>
            </w:pPr>
            <w:r>
              <w:t xml:space="preserve">Alt.3s</w:t>
            </w:r>
          </w:p>
        </w:tc>
      </w:tr>
      <w:tr>
        <w:tc>
          <w:tcPr/>
          <w:p>
            <w:pPr>
              <w:pStyle w:val="Compact"/>
              <w:jc w:val="left"/>
            </w:pPr>
            <w:r>
              <w:t xml:space="preserve">Avg Sept Flow (cfs)</w:t>
            </w:r>
          </w:p>
        </w:tc>
        <w:tc>
          <w:tcPr/>
          <w:p>
            <w:pPr>
              <w:pStyle w:val="Compact"/>
              <w:jc w:val="left"/>
            </w:pPr>
            <w:r>
              <w:t xml:space="preserve">7363</w:t>
            </w:r>
          </w:p>
        </w:tc>
        <w:tc>
          <w:tcPr/>
          <w:p>
            <w:pPr>
              <w:pStyle w:val="Compact"/>
              <w:jc w:val="left"/>
            </w:pPr>
            <w:r>
              <w:t xml:space="preserve">7300</w:t>
            </w:r>
          </w:p>
        </w:tc>
        <w:tc>
          <w:tcPr/>
          <w:p>
            <w:pPr>
              <w:pStyle w:val="Compact"/>
              <w:jc w:val="left"/>
            </w:pPr>
            <w:r>
              <w:t xml:space="preserve">7347</w:t>
            </w:r>
          </w:p>
        </w:tc>
        <w:tc>
          <w:tcPr/>
          <w:p>
            <w:pPr>
              <w:pStyle w:val="Compact"/>
              <w:jc w:val="left"/>
            </w:pPr>
            <w:r>
              <w:t xml:space="preserve">7347</w:t>
            </w:r>
          </w:p>
        </w:tc>
        <w:tc>
          <w:tcPr/>
          <w:p>
            <w:pPr>
              <w:pStyle w:val="Compact"/>
              <w:jc w:val="left"/>
            </w:pPr>
            <w:r>
              <w:t xml:space="preserve">7347</w:t>
            </w:r>
          </w:p>
        </w:tc>
      </w:tr>
      <w:tr>
        <w:tc>
          <w:tcPr/>
          <w:p>
            <w:pPr>
              <w:pStyle w:val="Compact"/>
              <w:jc w:val="left"/>
            </w:pPr>
            <w:r>
              <w:t xml:space="preserve">Avg Oct Flow (cfs)</w:t>
            </w:r>
          </w:p>
        </w:tc>
        <w:tc>
          <w:tcPr/>
          <w:p>
            <w:pPr>
              <w:pStyle w:val="Compact"/>
              <w:jc w:val="left"/>
            </w:pPr>
            <w:r>
              <w:t xml:space="preserve">5645</w:t>
            </w:r>
          </w:p>
        </w:tc>
        <w:tc>
          <w:tcPr/>
          <w:p>
            <w:pPr>
              <w:pStyle w:val="Compact"/>
              <w:jc w:val="left"/>
            </w:pPr>
            <w:r>
              <w:t xml:space="preserve">6500</w:t>
            </w:r>
          </w:p>
        </w:tc>
        <w:tc>
          <w:tcPr/>
          <w:p>
            <w:pPr>
              <w:pStyle w:val="Compact"/>
              <w:jc w:val="left"/>
            </w:pPr>
            <w:r>
              <w:t xml:space="preserve">6361</w:t>
            </w:r>
          </w:p>
        </w:tc>
        <w:tc>
          <w:tcPr/>
          <w:p>
            <w:pPr>
              <w:pStyle w:val="Compact"/>
              <w:jc w:val="left"/>
            </w:pPr>
            <w:r>
              <w:t xml:space="preserve">6361</w:t>
            </w:r>
          </w:p>
        </w:tc>
        <w:tc>
          <w:tcPr/>
          <w:p>
            <w:pPr>
              <w:pStyle w:val="Compact"/>
              <w:jc w:val="left"/>
            </w:pPr>
            <w:r>
              <w:t xml:space="preserve">6590</w:t>
            </w:r>
          </w:p>
        </w:tc>
      </w:tr>
      <w:tr>
        <w:tc>
          <w:tcPr/>
          <w:p>
            <w:pPr>
              <w:pStyle w:val="Compact"/>
              <w:jc w:val="left"/>
            </w:pPr>
            <w:r>
              <w:t xml:space="preserve">Sept-Feb Total Volume (TAF)</w:t>
            </w:r>
          </w:p>
        </w:tc>
        <w:tc>
          <w:tcPr/>
          <w:p>
            <w:pPr>
              <w:pStyle w:val="Compact"/>
              <w:jc w:val="left"/>
            </w:pPr>
            <w:r>
              <w:t xml:space="preserve">2395</w:t>
            </w:r>
          </w:p>
        </w:tc>
        <w:tc>
          <w:tcPr/>
          <w:p>
            <w:pPr>
              <w:pStyle w:val="Compact"/>
              <w:jc w:val="left"/>
            </w:pPr>
            <w:r>
              <w:t xml:space="preserve">2063</w:t>
            </w:r>
          </w:p>
        </w:tc>
        <w:tc>
          <w:tcPr/>
          <w:p>
            <w:pPr>
              <w:pStyle w:val="Compact"/>
              <w:jc w:val="left"/>
            </w:pPr>
            <w:r>
              <w:t xml:space="preserve">2038</w:t>
            </w:r>
          </w:p>
        </w:tc>
        <w:tc>
          <w:tcPr/>
          <w:p>
            <w:pPr>
              <w:pStyle w:val="Compact"/>
              <w:jc w:val="left"/>
            </w:pPr>
            <w:r>
              <w:t xml:space="preserve">2034</w:t>
            </w:r>
          </w:p>
        </w:tc>
        <w:tc>
          <w:tcPr/>
          <w:p>
            <w:pPr>
              <w:pStyle w:val="Compact"/>
              <w:jc w:val="left"/>
            </w:pPr>
            <w:r>
              <w:t xml:space="preserve">2048</w:t>
            </w:r>
          </w:p>
        </w:tc>
      </w:tr>
      <w:tr>
        <w:tc>
          <w:tcPr/>
          <w:p>
            <w:pPr>
              <w:pStyle w:val="Compact"/>
              <w:jc w:val="left"/>
            </w:pPr>
            <w:r>
              <w:t xml:space="preserve">Aug-Oct Total Volume (TAF)</w:t>
            </w:r>
          </w:p>
        </w:tc>
        <w:tc>
          <w:tcPr/>
          <w:p>
            <w:pPr>
              <w:pStyle w:val="Compact"/>
              <w:jc w:val="left"/>
            </w:pPr>
            <w:r>
              <w:t xml:space="preserve">1392</w:t>
            </w:r>
          </w:p>
        </w:tc>
        <w:tc>
          <w:tcPr/>
          <w:p>
            <w:pPr>
              <w:pStyle w:val="Compact"/>
              <w:jc w:val="left"/>
            </w:pPr>
            <w:r>
              <w:t xml:space="preserve">1441</w:t>
            </w:r>
          </w:p>
        </w:tc>
        <w:tc>
          <w:tcPr/>
          <w:p>
            <w:pPr>
              <w:pStyle w:val="Compact"/>
              <w:jc w:val="left"/>
            </w:pPr>
            <w:r>
              <w:t xml:space="preserve">1435</w:t>
            </w:r>
          </w:p>
        </w:tc>
        <w:tc>
          <w:tcPr/>
          <w:p>
            <w:pPr>
              <w:pStyle w:val="Compact"/>
              <w:jc w:val="left"/>
            </w:pPr>
            <w:r>
              <w:t xml:space="preserve">1435</w:t>
            </w:r>
          </w:p>
        </w:tc>
        <w:tc>
          <w:tcPr/>
          <w:p>
            <w:pPr>
              <w:pStyle w:val="Compact"/>
              <w:jc w:val="left"/>
            </w:pPr>
            <w:r>
              <w:t xml:space="preserve">1449</w:t>
            </w:r>
          </w:p>
        </w:tc>
      </w:tr>
      <w:tr>
        <w:tc>
          <w:tcPr/>
          <w:p>
            <w:pPr>
              <w:pStyle w:val="Compact"/>
              <w:jc w:val="left"/>
            </w:pPr>
            <w:r>
              <w:t xml:space="preserve">Winter-run Redds dewatered</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(based on current count)</w:t>
            </w:r>
          </w:p>
        </w:tc>
        <w:tc>
          <w:tcPr/>
          <w:p>
            <w:pPr>
              <w:pStyle w:val="Compact"/>
              <w:jc w:val="left"/>
            </w:pPr>
            <w:r>
              <w:t xml:space="preserve">1.1</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Winter-run Percent Lost (based on this year’s anticipated expansion of 3)</w:t>
            </w:r>
          </w:p>
        </w:tc>
        <w:tc>
          <w:tcPr/>
          <w:p>
            <w:pPr>
              <w:pStyle w:val="Compact"/>
              <w:jc w:val="left"/>
            </w:pPr>
            <w:r>
              <w:t xml:space="preserve">0.4</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Winter-run Percent Lost (based on average expansion of 1.98)</w:t>
            </w:r>
          </w:p>
        </w:tc>
        <w:tc>
          <w:tcPr/>
          <w:p>
            <w:pPr>
              <w:pStyle w:val="Compact"/>
              <w:jc w:val="left"/>
            </w:pPr>
            <w:r>
              <w:t xml:space="preserve">0.6</w:t>
            </w:r>
          </w:p>
        </w:tc>
        <w:tc>
          <w:tcPr/>
          <w:p>
            <w:pPr>
              <w:pStyle w:val="Compact"/>
              <w:jc w:val="left"/>
            </w:pPr>
            <w:r>
              <w:t xml:space="preserve">0.4</w:t>
            </w:r>
          </w:p>
        </w:tc>
        <w:tc>
          <w:tcPr/>
          <w:p>
            <w:pPr>
              <w:pStyle w:val="Compact"/>
              <w:jc w:val="left"/>
            </w:pPr>
            <w:r>
              <w:t xml:space="preserve">0.4</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Winter-run Percent Lost (based on maximum expansion of 3.45)</w:t>
            </w:r>
          </w:p>
        </w:tc>
        <w:tc>
          <w:tcPr/>
          <w:p>
            <w:pPr>
              <w:pStyle w:val="Compact"/>
              <w:jc w:val="left"/>
            </w:pPr>
            <w:r>
              <w:t xml:space="preserve">0.3</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Winter-run Percent Lost (based on minimum expansion of 1.25)</w:t>
            </w:r>
          </w:p>
        </w:tc>
        <w:tc>
          <w:tcPr/>
          <w:p>
            <w:pPr>
              <w:pStyle w:val="Compact"/>
              <w:jc w:val="left"/>
            </w:pPr>
            <w:r>
              <w:t xml:space="preserve">0.9</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Winter-run Redds Dewatered (w/ 250 cfs buffer)</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(w/ 250 cfs buffer)</w:t>
            </w:r>
          </w:p>
        </w:tc>
        <w:tc>
          <w:tcPr/>
          <w:p>
            <w:pPr>
              <w:pStyle w:val="Compact"/>
              <w:jc w:val="left"/>
            </w:pPr>
            <w:r>
              <w:t xml:space="preserve">1.1</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Fall-run dewatered (%)</w:t>
            </w:r>
          </w:p>
        </w:tc>
        <w:tc>
          <w:tcPr/>
          <w:p>
            <w:pPr>
              <w:pStyle w:val="Compact"/>
              <w:jc w:val="left"/>
            </w:pPr>
            <w:r>
              <w:t xml:space="preserve">4.9</w:t>
            </w:r>
          </w:p>
        </w:tc>
        <w:tc>
          <w:tcPr/>
          <w:p>
            <w:pPr>
              <w:pStyle w:val="Compact"/>
              <w:jc w:val="left"/>
            </w:pPr>
            <w:r>
              <w:t xml:space="preserve">8.4</w:t>
            </w:r>
          </w:p>
        </w:tc>
        <w:tc>
          <w:tcPr/>
          <w:p>
            <w:pPr>
              <w:pStyle w:val="Compact"/>
              <w:jc w:val="left"/>
            </w:pPr>
            <w:r>
              <w:t xml:space="preserve">7.4</w:t>
            </w:r>
          </w:p>
        </w:tc>
        <w:tc>
          <w:tcPr/>
          <w:p>
            <w:pPr>
              <w:pStyle w:val="Compact"/>
              <w:jc w:val="left"/>
            </w:pPr>
            <w:r>
              <w:t xml:space="preserve">7.2</w:t>
            </w:r>
          </w:p>
        </w:tc>
        <w:tc>
          <w:tcPr/>
          <w:p>
            <w:pPr>
              <w:pStyle w:val="Compact"/>
              <w:jc w:val="left"/>
            </w:pPr>
            <w:r>
              <w:t xml:space="preserve">7.5</w:t>
            </w:r>
          </w:p>
        </w:tc>
      </w:tr>
    </w:tbl>
    <w:bookmarkEnd w:id="23"/>
    <w:bookmarkStart w:id="28" w:name="plots"/>
    <w:p>
      <w:pPr>
        <w:pStyle w:val="Heading1"/>
      </w:pPr>
      <w:r>
        <w:t xml:space="preserve">Plots</w:t>
      </w:r>
    </w:p>
    <w:p>
      <w:pPr>
        <w:pStyle w:val="FirstParagraph"/>
      </w:pPr>
      <w:r>
        <w:drawing>
          <wp:inline>
            <wp:extent cx="5334000" cy="3111500"/>
            <wp:effectExtent b="0" l="0" r="0" t="0"/>
            <wp:docPr descr="" title="" id="25" name="Picture"/>
            <a:graphic>
              <a:graphicData uri="http://schemas.openxmlformats.org/drawingml/2006/picture">
                <pic:pic>
                  <pic:nvPicPr>
                    <pic:cNvPr descr="Real-time-Estimates_Prelim_automated_v3_files/figure-docx/unnamed-chunk-10-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7">
        <w:r>
          <w:rPr>
            <w:rStyle w:val="Hyperlink"/>
          </w:rPr>
          <w:t xml:space="preserve">SacPas</w:t>
        </w:r>
      </w:hyperlink>
      <w:r>
        <w:t xml:space="preserve">).</w:t>
      </w:r>
    </w:p>
    <w:bookmarkEnd w:id="28"/>
    <w:bookmarkStart w:id="29"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Kesewick Dam and Battle Creek. 94 pages.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2023-10-16T21:39:15Z</dcterms:created>
  <dcterms:modified xsi:type="dcterms:W3CDTF">2023-10-16T21:39:15Z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October, 2023</vt:lpwstr>
  </property>
  <property fmtid="{D5CDD505-2E9C-101B-9397-08002B2CF9AE}" pid="3" name="output">
    <vt:lpwstr/>
  </property>
</Properties>
</file>