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cf7fe9ca55bf57eb9fe0003e3d6407f08f67cde"/>
    <w:p>
      <w:pPr>
        <w:pStyle w:val="Heading2"/>
      </w:pPr>
      <w:r>
        <w:t xml:space="preserve">PRELIMINARY DATA: Redd Dewatering Estimates for Keswick Fall Flow Scenarios</w:t>
      </w:r>
    </w:p>
    <w:p>
      <w:pPr>
        <w:pStyle w:val="FirstParagraph"/>
      </w:pPr>
      <w:r>
        <w:rPr>
          <w:i/>
          <w:iCs/>
        </w:rPr>
        <w:t xml:space="preserve">BDO Science Division</w:t>
      </w:r>
    </w:p>
    <w:p>
      <w:pPr>
        <w:pStyle w:val="BodyText"/>
      </w:pPr>
      <w:r>
        <w:rPr>
          <w:i/>
          <w:iCs/>
        </w:rPr>
        <w:t xml:space="preserve">July 21, 2025</w:t>
      </w:r>
    </w:p>
    <w:bookmarkStart w:id="22" w:name="background"/>
    <w:p>
      <w:pPr>
        <w:pStyle w:val="Heading3"/>
      </w:pPr>
      <w:r>
        <w:t xml:space="preserve">Background</w:t>
      </w:r>
    </w:p>
    <w:p>
      <w:pPr>
        <w:pStyle w:val="FirstParagraph"/>
      </w:pPr>
      <w:r>
        <w:t xml:space="preserve">This script constructs real-time winter-run redd dewatering estimates based on most recent data available from CDFW (as of July 17, 2025) for winter-run data and using a redd dewatering estimate tool from USFWS (2006; see citation). Data are also available in the 2025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End w:id="22"/>
    <w:bookmarkStart w:id="23" w:name="winter-run-redd-counts"/>
    <w:p>
      <w:pPr>
        <w:pStyle w:val="Heading3"/>
      </w:pPr>
      <w:r>
        <w:t xml:space="preserve">Winter-run Redd Counts</w:t>
      </w:r>
    </w:p>
    <w:p>
      <w:pPr>
        <w:pStyle w:val="FirstParagraph"/>
      </w:pPr>
      <w:r>
        <w:t xml:space="preserve">As of July 06, 2025, the unexpanded redd count is</w:t>
      </w:r>
      <w:r>
        <w:t xml:space="preserve"> </w:t>
      </w:r>
      <w:r>
        <w:rPr>
          <w:b/>
          <w:bCs/>
        </w:rPr>
        <w:t xml:space="preserve">115</w:t>
      </w:r>
      <w:r>
        <w:t xml:space="preserve"> </w:t>
      </w:r>
      <w:r>
        <w:t xml:space="preserve">Winter-run redds. It is important to note that until data collection is completed for the year these are the</w:t>
      </w:r>
      <w:r>
        <w:t xml:space="preserve"> </w:t>
      </w:r>
      <w:r>
        <w:rPr>
          <w:b/>
          <w:bCs/>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but we illustrate several different expansion scenarios in the table below.</w:t>
      </w:r>
    </w:p>
    <w:p>
      <w:pPr>
        <w:pStyle w:val="TableCaption"/>
      </w:pPr>
      <w:r>
        <w:t xml:space="preserve">Estimated total number of Winter-run redds with varying expansion factors and resulting number of redds that represent 1 percent of the population.</w:t>
      </w:r>
    </w:p>
    <w:tbl>
      <w:tblPr>
        <w:tblStyle w:val="Table"/>
        <w:tblW w:type="auto" w:w="0"/>
        <w:tblLook w:firstRow="1" w:lastRow="0" w:firstColumn="0" w:lastColumn="0" w:noHBand="0" w:noVBand="0" w:val="0020"/>
        <w:tblCaption w:val="Estimated total number of Winter-run redds with varying expansion factors and resulting number of redds that represent 1 percent of the population."/>
      </w:tblPr>
      <w:tblGrid>
        <w:gridCol w:w="2640"/>
        <w:gridCol w:w="2640"/>
        <w:gridCol w:w="2640"/>
      </w:tblGrid>
      <w:tr>
        <w:trPr>
          <w:tblHeader w:val="on"/>
        </w:trPr>
        <w:tc>
          <w:tcPr/>
          <w:p>
            <w:pPr>
              <w:pStyle w:val="Compact"/>
              <w:jc w:val="left"/>
            </w:pPr>
            <w:r>
              <w:t xml:space="preserve">Expansion Factor</w:t>
            </w:r>
          </w:p>
        </w:tc>
        <w:tc>
          <w:tcPr/>
          <w:p>
            <w:pPr>
              <w:pStyle w:val="Compact"/>
              <w:jc w:val="right"/>
            </w:pPr>
            <w:r>
              <w:t xml:space="preserve">Total Redds</w:t>
            </w:r>
          </w:p>
        </w:tc>
        <w:tc>
          <w:tcPr/>
          <w:p>
            <w:pPr>
              <w:pStyle w:val="Compact"/>
              <w:jc w:val="right"/>
            </w:pPr>
            <w:r>
              <w:t xml:space="preserve">Dewatering Threshold (1%)</w:t>
            </w:r>
          </w:p>
        </w:tc>
      </w:tr>
      <w:tr>
        <w:tc>
          <w:tcPr/>
          <w:p>
            <w:pPr>
              <w:pStyle w:val="Compact"/>
              <w:jc w:val="left"/>
            </w:pPr>
            <w:r>
              <w:t xml:space="preserve">1.0</w:t>
            </w:r>
          </w:p>
        </w:tc>
        <w:tc>
          <w:tcPr/>
          <w:p>
            <w:pPr>
              <w:pStyle w:val="Compact"/>
              <w:jc w:val="right"/>
            </w:pPr>
            <w:r>
              <w:t xml:space="preserve">115</w:t>
            </w:r>
          </w:p>
        </w:tc>
        <w:tc>
          <w:tcPr/>
          <w:p>
            <w:pPr>
              <w:pStyle w:val="Compact"/>
              <w:jc w:val="right"/>
            </w:pPr>
            <w:r>
              <w:t xml:space="preserve">1.15</w:t>
            </w:r>
          </w:p>
        </w:tc>
      </w:tr>
      <w:tr>
        <w:tc>
          <w:tcPr/>
          <w:p>
            <w:pPr>
              <w:pStyle w:val="Compact"/>
              <w:jc w:val="left"/>
            </w:pPr>
            <w:r>
              <w:t xml:space="preserve">1.5</w:t>
            </w:r>
          </w:p>
        </w:tc>
        <w:tc>
          <w:tcPr/>
          <w:p>
            <w:pPr>
              <w:pStyle w:val="Compact"/>
              <w:jc w:val="right"/>
            </w:pPr>
            <w:r>
              <w:t xml:space="preserve">172</w:t>
            </w:r>
          </w:p>
        </w:tc>
        <w:tc>
          <w:tcPr/>
          <w:p>
            <w:pPr>
              <w:pStyle w:val="Compact"/>
              <w:jc w:val="right"/>
            </w:pPr>
            <w:r>
              <w:t xml:space="preserve">1.72</w:t>
            </w:r>
          </w:p>
        </w:tc>
      </w:tr>
      <w:tr>
        <w:tc>
          <w:tcPr/>
          <w:p>
            <w:pPr>
              <w:pStyle w:val="Compact"/>
              <w:jc w:val="left"/>
            </w:pPr>
            <w:r>
              <w:t xml:space="preserve">2.0</w:t>
            </w:r>
          </w:p>
        </w:tc>
        <w:tc>
          <w:tcPr/>
          <w:p>
            <w:pPr>
              <w:pStyle w:val="Compact"/>
              <w:jc w:val="right"/>
            </w:pPr>
            <w:r>
              <w:t xml:space="preserve">230</w:t>
            </w:r>
          </w:p>
        </w:tc>
        <w:tc>
          <w:tcPr/>
          <w:p>
            <w:pPr>
              <w:pStyle w:val="Compact"/>
              <w:jc w:val="right"/>
            </w:pPr>
            <w:r>
              <w:t xml:space="preserve">2.30</w:t>
            </w:r>
          </w:p>
        </w:tc>
      </w:tr>
      <w:tr>
        <w:tc>
          <w:tcPr/>
          <w:p>
            <w:pPr>
              <w:pStyle w:val="Compact"/>
              <w:jc w:val="left"/>
            </w:pPr>
            <w:r>
              <w:t xml:space="preserve">2.5</w:t>
            </w:r>
          </w:p>
        </w:tc>
        <w:tc>
          <w:tcPr/>
          <w:p>
            <w:pPr>
              <w:pStyle w:val="Compact"/>
              <w:jc w:val="right"/>
            </w:pPr>
            <w:r>
              <w:t xml:space="preserve">288</w:t>
            </w:r>
          </w:p>
        </w:tc>
        <w:tc>
          <w:tcPr/>
          <w:p>
            <w:pPr>
              <w:pStyle w:val="Compact"/>
              <w:jc w:val="right"/>
            </w:pPr>
            <w:r>
              <w:t xml:space="preserve">2.88</w:t>
            </w:r>
          </w:p>
        </w:tc>
      </w:tr>
      <w:tr>
        <w:tc>
          <w:tcPr/>
          <w:p>
            <w:pPr>
              <w:pStyle w:val="Compact"/>
              <w:jc w:val="left"/>
            </w:pPr>
            <w:r>
              <w:t xml:space="preserve">3.0</w:t>
            </w:r>
          </w:p>
        </w:tc>
        <w:tc>
          <w:tcPr/>
          <w:p>
            <w:pPr>
              <w:pStyle w:val="Compact"/>
              <w:jc w:val="right"/>
            </w:pPr>
            <w:r>
              <w:t xml:space="preserve">345</w:t>
            </w:r>
          </w:p>
        </w:tc>
        <w:tc>
          <w:tcPr/>
          <w:p>
            <w:pPr>
              <w:pStyle w:val="Compact"/>
              <w:jc w:val="right"/>
            </w:pPr>
            <w:r>
              <w:t xml:space="preserve">3.45</w:t>
            </w:r>
          </w:p>
        </w:tc>
      </w:tr>
      <w:tr>
        <w:tc>
          <w:tcPr/>
          <w:p>
            <w:pPr>
              <w:pStyle w:val="Compact"/>
              <w:jc w:val="left"/>
            </w:pPr>
            <w:r>
              <w:t xml:space="preserve">3.5</w:t>
            </w:r>
          </w:p>
        </w:tc>
        <w:tc>
          <w:tcPr/>
          <w:p>
            <w:pPr>
              <w:pStyle w:val="Compact"/>
              <w:jc w:val="right"/>
            </w:pPr>
            <w:r>
              <w:t xml:space="preserve">402</w:t>
            </w:r>
          </w:p>
        </w:tc>
        <w:tc>
          <w:tcPr/>
          <w:p>
            <w:pPr>
              <w:pStyle w:val="Compact"/>
              <w:jc w:val="right"/>
            </w:pPr>
            <w:r>
              <w:t xml:space="preserve">4.02</w:t>
            </w:r>
          </w:p>
        </w:tc>
      </w:tr>
      <w:tr>
        <w:tc>
          <w:tcPr/>
          <w:p>
            <w:pPr>
              <w:pStyle w:val="Compact"/>
              <w:jc w:val="left"/>
            </w:pPr>
            <w:r>
              <w:t xml:space="preserve">4.0</w:t>
            </w:r>
          </w:p>
        </w:tc>
        <w:tc>
          <w:tcPr/>
          <w:p>
            <w:pPr>
              <w:pStyle w:val="Compact"/>
              <w:jc w:val="right"/>
            </w:pPr>
            <w:r>
              <w:t xml:space="preserve">460</w:t>
            </w:r>
          </w:p>
        </w:tc>
        <w:tc>
          <w:tcPr/>
          <w:p>
            <w:pPr>
              <w:pStyle w:val="Compact"/>
              <w:jc w:val="right"/>
            </w:pPr>
            <w:r>
              <w:t xml:space="preserve">4.60</w:t>
            </w:r>
          </w:p>
        </w:tc>
      </w:tr>
    </w:tbl>
    <w:bookmarkEnd w:id="23"/>
    <w:bookmarkStart w:id="25" w:name="redd-dewatering-estimates"/>
    <w:p>
      <w:pPr>
        <w:pStyle w:val="Heading3"/>
      </w:pPr>
      <w:r>
        <w:t xml:space="preserve">Redd dewatering estimates</w:t>
      </w:r>
    </w:p>
    <w:p>
      <w:pPr>
        <w:pStyle w:val="FirstParagraph"/>
      </w:pPr>
      <w:r>
        <w:t xml:space="preserve">As of July 17, 2025,</w:t>
      </w:r>
      <w:r>
        <w:t xml:space="preserve"> </w:t>
      </w:r>
      <w:r>
        <w:rPr>
          <w:b/>
          <w:bCs/>
        </w:rPr>
        <w:t xml:space="preserve">0</w:t>
      </w:r>
      <w:r>
        <w:t xml:space="preserve"> </w:t>
      </w:r>
      <w:r>
        <w:t xml:space="preserve">Winter-run redds have</w:t>
      </w:r>
      <w:r>
        <w:t xml:space="preserve"> </w:t>
      </w:r>
      <w:r>
        <w:rPr>
          <w:b/>
          <w:bCs/>
        </w:rPr>
        <w:t xml:space="preserve">emerged</w:t>
      </w:r>
      <w:r>
        <w:t xml:space="preserve"> </w:t>
      </w:r>
      <w:r>
        <w:t xml:space="preserve">and</w:t>
      </w:r>
      <w:r>
        <w:t xml:space="preserve"> </w:t>
      </w:r>
      <w:r>
        <w:rPr>
          <w:b/>
          <w:bCs/>
        </w:rPr>
        <w:t xml:space="preserve">0</w:t>
      </w:r>
      <w:r>
        <w:t xml:space="preserve"> </w:t>
      </w:r>
      <w:r>
        <w:t xml:space="preserve">have been</w:t>
      </w:r>
      <w:r>
        <w:t xml:space="preserve"> </w:t>
      </w:r>
      <w:r>
        <w:rPr>
          <w:b/>
          <w:bCs/>
        </w:rPr>
        <w:t xml:space="preserve">dewatered</w:t>
      </w:r>
      <w:r>
        <w:t xml:space="preserve">. This leaves</w:t>
      </w:r>
      <w:r>
        <w:t xml:space="preserve"> </w:t>
      </w:r>
      <w:r>
        <w:rPr>
          <w:b/>
          <w:bCs/>
        </w:rPr>
        <w:t xml:space="preserve">48</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from 2014 through 2023. Emergence timing were predicted from water temperatures below Keswick individually for each year and dewatering was estimated for each scenario for each year to capture annual variance in spawn timing. Fall-run dewatering estimates range from</w:t>
      </w:r>
      <w:r>
        <w:t xml:space="preserve"> </w:t>
      </w:r>
      <w:r>
        <w:rPr>
          <w:b/>
          <w:bCs/>
        </w:rPr>
        <w:t xml:space="preserve">7.2</w:t>
      </w:r>
      <w:r>
        <w:t xml:space="preserve"> </w:t>
      </w:r>
      <w:r>
        <w:t xml:space="preserve">to</w:t>
      </w:r>
      <w:r>
        <w:t xml:space="preserve"> </w:t>
      </w:r>
      <w:r>
        <w:rPr>
          <w:b/>
          <w:bCs/>
        </w:rPr>
        <w:t xml:space="preserve">13.7%</w:t>
      </w:r>
      <w:r>
        <w:t xml:space="preserve"> </w:t>
      </w:r>
      <w:r>
        <w:t xml:space="preserve">(see detailed data in table below).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w:t>
      </w:r>
      <w:r>
        <w:t xml:space="preserve"> </w:t>
      </w:r>
      <w:hyperlink r:id="rId24">
        <w:r>
          <w:rPr>
            <w:rStyle w:val="Hyperlink"/>
          </w:rPr>
          <w:t xml:space="preserve">here</w:t>
        </w:r>
      </w:hyperlink>
      <w:r>
        <w:t xml:space="preserve">.</w:t>
      </w:r>
    </w:p>
    <w:p>
      <w:pPr>
        <w:pStyle w:val="TableCaption"/>
      </w:pPr>
      <w:r>
        <w:t xml:space="preserve">Estimated fall-run redd dewatering for each scenario by year</w:t>
      </w:r>
    </w:p>
    <w:tbl>
      <w:tblPr>
        <w:tblStyle w:val="Table"/>
        <w:tblW w:type="pct" w:w="5000"/>
        <w:tblLayout w:type="fixed"/>
        <w:tblLook w:firstRow="1" w:lastRow="0" w:firstColumn="0" w:lastColumn="0" w:noHBand="0" w:noVBand="0" w:val="0020"/>
        <w:tblCaption w:val="Estimated fall-run redd dewatering for each scenario by year"/>
      </w:tblPr>
      <w:tblGrid>
        <w:gridCol w:w="1131"/>
        <w:gridCol w:w="678"/>
        <w:gridCol w:w="678"/>
        <w:gridCol w:w="678"/>
        <w:gridCol w:w="678"/>
        <w:gridCol w:w="678"/>
        <w:gridCol w:w="678"/>
        <w:gridCol w:w="678"/>
        <w:gridCol w:w="678"/>
        <w:gridCol w:w="678"/>
        <w:gridCol w:w="678"/>
      </w:tblGrid>
      <w:tr>
        <w:trPr>
          <w:tblHeader w:val="on"/>
        </w:trPr>
        <w:tc>
          <w:tcPr/>
          <w:p>
            <w:pPr>
              <w:pStyle w:val="Compact"/>
              <w:jc w:val="center"/>
            </w:pPr>
            <w:r>
              <w:t xml:space="preserve">Scenario</w:t>
            </w:r>
          </w:p>
        </w:tc>
        <w:tc>
          <w:tcPr/>
          <w:p>
            <w:pPr>
              <w:pStyle w:val="Compact"/>
              <w:jc w:val="center"/>
            </w:pPr>
            <w:r>
              <w:t xml:space="preserve">2014</w:t>
            </w:r>
          </w:p>
        </w:tc>
        <w:tc>
          <w:tcPr/>
          <w:p>
            <w:pPr>
              <w:pStyle w:val="Compact"/>
              <w:jc w:val="center"/>
            </w:pPr>
            <w:r>
              <w:t xml:space="preserve">2015</w:t>
            </w:r>
          </w:p>
        </w:tc>
        <w:tc>
          <w:tcPr/>
          <w:p>
            <w:pPr>
              <w:pStyle w:val="Compact"/>
              <w:jc w:val="center"/>
            </w:pPr>
            <w:r>
              <w:t xml:space="preserve">2016</w:t>
            </w:r>
          </w:p>
        </w:tc>
        <w:tc>
          <w:tcPr/>
          <w:p>
            <w:pPr>
              <w:pStyle w:val="Compact"/>
              <w:jc w:val="center"/>
            </w:pPr>
            <w:r>
              <w:t xml:space="preserve">2017</w:t>
            </w:r>
          </w:p>
        </w:tc>
        <w:tc>
          <w:tcPr/>
          <w:p>
            <w:pPr>
              <w:pStyle w:val="Compact"/>
              <w:jc w:val="center"/>
            </w:pPr>
            <w:r>
              <w:t xml:space="preserve">2018</w:t>
            </w:r>
          </w:p>
        </w:tc>
        <w:tc>
          <w:tcPr/>
          <w:p>
            <w:pPr>
              <w:pStyle w:val="Compact"/>
              <w:jc w:val="center"/>
            </w:pPr>
            <w:r>
              <w:t xml:space="preserve">2019</w:t>
            </w:r>
          </w:p>
        </w:tc>
        <w:tc>
          <w:tcPr/>
          <w:p>
            <w:pPr>
              <w:pStyle w:val="Compact"/>
              <w:jc w:val="center"/>
            </w:pPr>
            <w:r>
              <w:t xml:space="preserve">2020</w:t>
            </w:r>
          </w:p>
        </w:tc>
        <w:tc>
          <w:tcPr/>
          <w:p>
            <w:pPr>
              <w:pStyle w:val="Compact"/>
              <w:jc w:val="center"/>
            </w:pPr>
            <w:r>
              <w:t xml:space="preserve">2021</w:t>
            </w:r>
          </w:p>
        </w:tc>
        <w:tc>
          <w:tcPr/>
          <w:p>
            <w:pPr>
              <w:pStyle w:val="Compact"/>
              <w:jc w:val="center"/>
            </w:pPr>
            <w:r>
              <w:t xml:space="preserve">2022</w:t>
            </w:r>
          </w:p>
        </w:tc>
        <w:tc>
          <w:tcPr/>
          <w:p>
            <w:pPr>
              <w:pStyle w:val="Compact"/>
              <w:jc w:val="center"/>
            </w:pPr>
            <w:r>
              <w:t xml:space="preserve">2023</w:t>
            </w:r>
          </w:p>
        </w:tc>
      </w:tr>
      <w:tr>
        <w:tc>
          <w:tcPr/>
          <w:p>
            <w:pPr>
              <w:pStyle w:val="Compact"/>
              <w:jc w:val="center"/>
            </w:pPr>
            <w:r>
              <w:t xml:space="preserve">A1</w:t>
            </w:r>
          </w:p>
        </w:tc>
        <w:tc>
          <w:tcPr/>
          <w:p>
            <w:pPr>
              <w:pStyle w:val="Compact"/>
              <w:jc w:val="center"/>
            </w:pPr>
            <w:r>
              <w:t xml:space="preserve">12.5</w:t>
            </w:r>
          </w:p>
        </w:tc>
        <w:tc>
          <w:tcPr/>
          <w:p>
            <w:pPr>
              <w:pStyle w:val="Compact"/>
              <w:jc w:val="center"/>
            </w:pPr>
            <w:r>
              <w:t xml:space="preserve">12</w:t>
            </w:r>
          </w:p>
        </w:tc>
        <w:tc>
          <w:tcPr/>
          <w:p>
            <w:pPr>
              <w:pStyle w:val="Compact"/>
              <w:jc w:val="center"/>
            </w:pPr>
            <w:r>
              <w:t xml:space="preserve">7.8</w:t>
            </w:r>
          </w:p>
        </w:tc>
        <w:tc>
          <w:tcPr/>
          <w:p>
            <w:pPr>
              <w:pStyle w:val="Compact"/>
              <w:jc w:val="center"/>
            </w:pPr>
            <w:r>
              <w:t xml:space="preserve">7.5</w:t>
            </w:r>
          </w:p>
        </w:tc>
        <w:tc>
          <w:tcPr/>
          <w:p>
            <w:pPr>
              <w:pStyle w:val="Compact"/>
              <w:jc w:val="center"/>
            </w:pPr>
            <w:r>
              <w:t xml:space="preserve">11.0</w:t>
            </w:r>
          </w:p>
        </w:tc>
        <w:tc>
          <w:tcPr/>
          <w:p>
            <w:pPr>
              <w:pStyle w:val="Compact"/>
              <w:jc w:val="center"/>
            </w:pPr>
            <w:r>
              <w:t xml:space="preserve">10.5</w:t>
            </w:r>
          </w:p>
        </w:tc>
        <w:tc>
          <w:tcPr/>
          <w:p>
            <w:pPr>
              <w:pStyle w:val="Compact"/>
              <w:jc w:val="center"/>
            </w:pPr>
            <w:r>
              <w:t xml:space="preserve">11.1</w:t>
            </w:r>
          </w:p>
        </w:tc>
        <w:tc>
          <w:tcPr/>
          <w:p>
            <w:pPr>
              <w:pStyle w:val="Compact"/>
              <w:jc w:val="center"/>
            </w:pPr>
            <w:r>
              <w:t xml:space="preserve">13.7</w:t>
            </w:r>
          </w:p>
        </w:tc>
        <w:tc>
          <w:tcPr/>
          <w:p>
            <w:pPr>
              <w:pStyle w:val="Compact"/>
              <w:jc w:val="center"/>
            </w:pPr>
            <w:r>
              <w:t xml:space="preserve">12.7</w:t>
            </w:r>
          </w:p>
        </w:tc>
        <w:tc>
          <w:tcPr/>
          <w:p>
            <w:pPr>
              <w:pStyle w:val="Compact"/>
              <w:jc w:val="center"/>
            </w:pPr>
            <w:r>
              <w:t xml:space="preserve">7.2</w:t>
            </w:r>
          </w:p>
        </w:tc>
      </w:tr>
      <w:tr>
        <w:tc>
          <w:tcPr/>
          <w:p>
            <w:pPr>
              <w:pStyle w:val="Compact"/>
              <w:jc w:val="center"/>
            </w:pPr>
            <w:r>
              <w:t xml:space="preserve">B1</w:t>
            </w:r>
          </w:p>
        </w:tc>
        <w:tc>
          <w:tcPr/>
          <w:p>
            <w:pPr>
              <w:pStyle w:val="Compact"/>
              <w:jc w:val="center"/>
            </w:pPr>
            <w:r>
              <w:t xml:space="preserve">12.5</w:t>
            </w:r>
          </w:p>
        </w:tc>
        <w:tc>
          <w:tcPr/>
          <w:p>
            <w:pPr>
              <w:pStyle w:val="Compact"/>
              <w:jc w:val="center"/>
            </w:pPr>
            <w:r>
              <w:t xml:space="preserve">12</w:t>
            </w:r>
          </w:p>
        </w:tc>
        <w:tc>
          <w:tcPr/>
          <w:p>
            <w:pPr>
              <w:pStyle w:val="Compact"/>
              <w:jc w:val="center"/>
            </w:pPr>
            <w:r>
              <w:t xml:space="preserve">8.2</w:t>
            </w:r>
          </w:p>
        </w:tc>
        <w:tc>
          <w:tcPr/>
          <w:p>
            <w:pPr>
              <w:pStyle w:val="Compact"/>
              <w:jc w:val="center"/>
            </w:pPr>
            <w:r>
              <w:t xml:space="preserve">7.8</w:t>
            </w:r>
          </w:p>
        </w:tc>
        <w:tc>
          <w:tcPr/>
          <w:p>
            <w:pPr>
              <w:pStyle w:val="Compact"/>
              <w:jc w:val="center"/>
            </w:pPr>
            <w:r>
              <w:t xml:space="preserve">11.1</w:t>
            </w:r>
          </w:p>
        </w:tc>
        <w:tc>
          <w:tcPr/>
          <w:p>
            <w:pPr>
              <w:pStyle w:val="Compact"/>
              <w:jc w:val="center"/>
            </w:pPr>
            <w:r>
              <w:t xml:space="preserve">10.5</w:t>
            </w:r>
          </w:p>
        </w:tc>
        <w:tc>
          <w:tcPr/>
          <w:p>
            <w:pPr>
              <w:pStyle w:val="Compact"/>
              <w:jc w:val="center"/>
            </w:pPr>
            <w:r>
              <w:t xml:space="preserve">11.1</w:t>
            </w:r>
          </w:p>
        </w:tc>
        <w:tc>
          <w:tcPr/>
          <w:p>
            <w:pPr>
              <w:pStyle w:val="Compact"/>
              <w:jc w:val="center"/>
            </w:pPr>
            <w:r>
              <w:t xml:space="preserve">13.4</w:t>
            </w:r>
          </w:p>
        </w:tc>
        <w:tc>
          <w:tcPr/>
          <w:p>
            <w:pPr>
              <w:pStyle w:val="Compact"/>
              <w:jc w:val="center"/>
            </w:pPr>
            <w:r>
              <w:t xml:space="preserve">12.2</w:t>
            </w:r>
          </w:p>
        </w:tc>
        <w:tc>
          <w:tcPr/>
          <w:p>
            <w:pPr>
              <w:pStyle w:val="Compact"/>
              <w:jc w:val="center"/>
            </w:pPr>
            <w:r>
              <w:t xml:space="preserve">7.5</w:t>
            </w:r>
          </w:p>
        </w:tc>
      </w:tr>
    </w:tbl>
    <w:bookmarkEnd w:id="25"/>
    <w:bookmarkStart w:id="26" w:name="Xa67342109d1d1bc9610ead2c2df60c0a3f57cfa"/>
    <w:p>
      <w:pPr>
        <w:pStyle w:val="Heading3"/>
      </w:pPr>
      <w:r>
        <w:t xml:space="preserve">Carryover Effects to Next Year Winter-run Brood</w:t>
      </w:r>
    </w:p>
    <w:p>
      <w:pPr>
        <w:pStyle w:val="FirstParagraph"/>
      </w:pPr>
      <w:r>
        <w:t xml:space="preserve">Carryover effects as it relates to temperature-dependent mortality will be evaluated when additional scenarios have been developed.</w:t>
      </w:r>
    </w:p>
    <w:bookmarkEnd w:id="26"/>
    <w:bookmarkStart w:id="30" w:name="preliminary-predicted-results"/>
    <w:p>
      <w:pPr>
        <w:pStyle w:val="Heading3"/>
      </w:pPr>
      <w:r>
        <w:t xml:space="preserve">Preliminary Predicted Results</w:t>
      </w:r>
    </w:p>
    <w:p>
      <w:pPr>
        <w:pStyle w:val="FirstParagraph"/>
      </w:pPr>
      <w:r>
        <w:t xml:space="preserve">Below are summarized results of scenarios as they relate to total volume, winter-run redd dewatering, and fall-run redd dewatering by scenario. Note that winter-run redd dewatering is predicted and based on estimated flow in which a redd may be dewatered prior to emergence. Fall-run redd dewatering is averaged over multiple years of spawning data.</w:t>
      </w:r>
    </w:p>
    <w:p>
      <w:pPr>
        <w:pStyle w:val="TableCaption"/>
      </w:pPr>
      <w:r>
        <w:t xml:space="preserve">Summary of water volume and winter-run and fall-run dewatering estimates related to flow scenarios. Each scenario uses actual flow-to-date as of most current report and proposed flows for the remainder of the incubation period. Percentage of the population lost is based on most recent cound data of Winter-run redds. See scenarios description table for further detailed explanation of scenarios.</w:t>
      </w:r>
    </w:p>
    <w:tbl>
      <w:tblPr>
        <w:tblStyle w:val="Table"/>
        <w:tblW w:type="auto" w:w="0"/>
        <w:tblLook w:firstRow="1" w:lastRow="0" w:firstColumn="0" w:lastColumn="0" w:noHBand="0" w:noVBand="0" w:val="0020"/>
        <w:tblCaption w:val="Summary of water volume and winter-run and fall-run dewatering estimates related to flow scenarios. Each scenario uses actual flow-to-date as of most current report and proposed flows for the remainder of the incubation period. Percentage of the population lost is based on most recent cound data of Winter-run redds. See scenarios description table for further detailed explanation of scenarios."/>
      </w:tblPr>
      <w:tblGrid>
        <w:gridCol w:w="2640"/>
        <w:gridCol w:w="2640"/>
        <w:gridCol w:w="2640"/>
      </w:tblGrid>
      <w:tr>
        <w:trPr>
          <w:tblHeader w:val="on"/>
        </w:trPr>
        <w:tc>
          <w:tcPr/>
          <w:p>
            <w:pPr>
              <w:pStyle w:val="Compact"/>
              <w:jc w:val="left"/>
            </w:pPr>
            <w:r>
              <w:t xml:space="preserve">Measure</w:t>
            </w:r>
          </w:p>
        </w:tc>
        <w:tc>
          <w:tcPr/>
          <w:p>
            <w:pPr>
              <w:pStyle w:val="Compact"/>
              <w:jc w:val="center"/>
            </w:pPr>
            <w:r>
              <w:t xml:space="preserve">A1</w:t>
            </w:r>
          </w:p>
        </w:tc>
        <w:tc>
          <w:tcPr/>
          <w:p>
            <w:pPr>
              <w:pStyle w:val="Compact"/>
              <w:jc w:val="center"/>
            </w:pPr>
            <w:r>
              <w:t xml:space="preserve">B1</w:t>
            </w:r>
          </w:p>
        </w:tc>
      </w:tr>
      <w:tr>
        <w:tc>
          <w:tcPr/>
          <w:p>
            <w:pPr>
              <w:pStyle w:val="Compact"/>
              <w:jc w:val="left"/>
            </w:pPr>
            <w:r>
              <w:t xml:space="preserve">Avg Sept Flow (cfs)</w:t>
            </w:r>
          </w:p>
        </w:tc>
        <w:tc>
          <w:tcPr/>
          <w:p>
            <w:pPr>
              <w:pStyle w:val="Compact"/>
              <w:jc w:val="center"/>
            </w:pPr>
            <w:r>
              <w:t xml:space="preserve">8000.0</w:t>
            </w:r>
          </w:p>
        </w:tc>
        <w:tc>
          <w:tcPr/>
          <w:p>
            <w:pPr>
              <w:pStyle w:val="Compact"/>
              <w:jc w:val="center"/>
            </w:pPr>
            <w:r>
              <w:t xml:space="preserve">7700.0</w:t>
            </w:r>
          </w:p>
        </w:tc>
      </w:tr>
      <w:tr>
        <w:tc>
          <w:tcPr/>
          <w:p>
            <w:pPr>
              <w:pStyle w:val="Compact"/>
              <w:jc w:val="left"/>
            </w:pPr>
            <w:r>
              <w:t xml:space="preserve">Avg Oct Flow (cfs)</w:t>
            </w:r>
          </w:p>
        </w:tc>
        <w:tc>
          <w:tcPr/>
          <w:p>
            <w:pPr>
              <w:pStyle w:val="Compact"/>
              <w:jc w:val="center"/>
            </w:pPr>
            <w:r>
              <w:t xml:space="preserve">6800.0</w:t>
            </w:r>
          </w:p>
        </w:tc>
        <w:tc>
          <w:tcPr/>
          <w:p>
            <w:pPr>
              <w:pStyle w:val="Compact"/>
              <w:jc w:val="center"/>
            </w:pPr>
            <w:r>
              <w:t xml:space="preserve">6800.0</w:t>
            </w:r>
          </w:p>
        </w:tc>
      </w:tr>
      <w:tr>
        <w:tc>
          <w:tcPr/>
          <w:p>
            <w:pPr>
              <w:pStyle w:val="Compact"/>
              <w:jc w:val="left"/>
            </w:pPr>
            <w:r>
              <w:t xml:space="preserve">Sept-Feb Total Volume (TAF)</w:t>
            </w:r>
          </w:p>
        </w:tc>
        <w:tc>
          <w:tcPr/>
          <w:p>
            <w:pPr>
              <w:pStyle w:val="Compact"/>
              <w:jc w:val="center"/>
            </w:pPr>
            <w:r>
              <w:t xml:space="preserve">1905.0</w:t>
            </w:r>
          </w:p>
        </w:tc>
        <w:tc>
          <w:tcPr/>
          <w:p>
            <w:pPr>
              <w:pStyle w:val="Compact"/>
              <w:jc w:val="center"/>
            </w:pPr>
            <w:r>
              <w:t xml:space="preserve">2171.0</w:t>
            </w:r>
          </w:p>
        </w:tc>
      </w:tr>
      <w:tr>
        <w:tc>
          <w:tcPr/>
          <w:p>
            <w:pPr>
              <w:pStyle w:val="Compact"/>
              <w:jc w:val="left"/>
            </w:pPr>
            <w:r>
              <w:t xml:space="preserve">Aug-Sept Total Volume (TAF)</w:t>
            </w:r>
          </w:p>
        </w:tc>
        <w:tc>
          <w:tcPr/>
          <w:p>
            <w:pPr>
              <w:pStyle w:val="Compact"/>
              <w:jc w:val="center"/>
            </w:pPr>
            <w:r>
              <w:t xml:space="preserve">799.0</w:t>
            </w:r>
          </w:p>
        </w:tc>
        <w:tc>
          <w:tcPr/>
          <w:p>
            <w:pPr>
              <w:pStyle w:val="Compact"/>
              <w:jc w:val="center"/>
            </w:pPr>
            <w:r>
              <w:t xml:space="preserve">553.0</w:t>
            </w:r>
          </w:p>
        </w:tc>
      </w:tr>
      <w:tr>
        <w:tc>
          <w:tcPr/>
          <w:p>
            <w:pPr>
              <w:pStyle w:val="Compact"/>
              <w:jc w:val="left"/>
            </w:pPr>
            <w:r>
              <w:t xml:space="preserve">Winter-run Redds Dewatered</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Winter-run % Lost (current count)</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Winter-run % Lost (mean expansion of 2)</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Winter-run Redds Dewatered (250 cfs buffer)</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Winter-run % Lost (250 cfs buffer)</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Fall-run % Redds Dewatered</w:t>
            </w:r>
          </w:p>
        </w:tc>
        <w:tc>
          <w:tcPr/>
          <w:p>
            <w:pPr>
              <w:pStyle w:val="Compact"/>
              <w:jc w:val="center"/>
            </w:pPr>
            <w:r>
              <w:t xml:space="preserve">10.6</w:t>
            </w:r>
          </w:p>
        </w:tc>
        <w:tc>
          <w:tcPr/>
          <w:p>
            <w:pPr>
              <w:pStyle w:val="Compact"/>
              <w:jc w:val="center"/>
            </w:pPr>
            <w:r>
              <w:t xml:space="preserve">10.6</w:t>
            </w:r>
          </w:p>
        </w:tc>
      </w:tr>
    </w:tbl>
    <w:p>
      <w:pPr>
        <w:pStyle w:val="CaptionedFigure"/>
      </w:pPr>
      <w:r>
        <w:drawing>
          <wp:inline>
            <wp:extent cx="5334000" cy="2963333"/>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title="" id="28" name="Picture"/>
            <a:graphic>
              <a:graphicData uri="http://schemas.openxmlformats.org/drawingml/2006/picture">
                <pic:pic>
                  <pic:nvPicPr>
                    <pic:cNvPr descr="real-time-estimates-prelim-automatd-v7_files/figure-docx/redd_igure-1.png" id="29"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p>
      <w:pPr>
        <w:pStyle w:val="TableCaption"/>
      </w:pPr>
      <w:r>
        <w:t xml:space="preserve">Description of scenarios being considered and compared by the Upper Sacramento Scheduling Team</w:t>
      </w:r>
    </w:p>
    <w:tbl>
      <w:tblPr>
        <w:tblStyle w:val="Table"/>
        <w:tblW w:type="pct" w:w="5000"/>
        <w:tblLayout w:type="fixed"/>
        <w:tblLook w:firstRow="1" w:lastRow="0" w:firstColumn="0" w:lastColumn="0" w:noHBand="0" w:noVBand="0" w:val="0020"/>
        <w:tblCaption w:val="Description of scenarios being considered and compared by the Upper Sacramento Scheduling Team"/>
      </w:tblPr>
      <w:tblGrid>
        <w:gridCol w:w="609"/>
        <w:gridCol w:w="7310"/>
      </w:tblGrid>
      <w:tr>
        <w:trPr>
          <w:tblHeader w:val="on"/>
        </w:trPr>
        <w:tc>
          <w:tcPr/>
          <w:p>
            <w:pPr>
              <w:pStyle w:val="Compact"/>
              <w:jc w:val="left"/>
            </w:pPr>
            <w:r>
              <w:t xml:space="preserve">Scenario</w:t>
            </w:r>
          </w:p>
        </w:tc>
        <w:tc>
          <w:tcPr/>
          <w:p>
            <w:pPr>
              <w:pStyle w:val="Compact"/>
              <w:jc w:val="left"/>
            </w:pPr>
            <w:r>
              <w:t xml:space="preserve">Description</w:t>
            </w:r>
          </w:p>
        </w:tc>
      </w:tr>
      <w:tr>
        <w:tc>
          <w:tcPr/>
          <w:p>
            <w:pPr>
              <w:pStyle w:val="Compact"/>
              <w:jc w:val="left"/>
            </w:pPr>
            <w:r>
              <w:t xml:space="preserve">A1</w:t>
            </w:r>
          </w:p>
        </w:tc>
        <w:tc>
          <w:tcPr/>
          <w:p>
            <w:pPr>
              <w:pStyle w:val="Compact"/>
              <w:jc w:val="left"/>
            </w:pPr>
            <w:r>
              <w:t xml:space="preserve">Scenario using June 90% Exceedance Forecast developed on July 3, 2025. Does not use ramping rate criteria.</w:t>
            </w:r>
          </w:p>
        </w:tc>
      </w:tr>
      <w:tr>
        <w:tc>
          <w:tcPr/>
          <w:p>
            <w:pPr>
              <w:pStyle w:val="Compact"/>
              <w:jc w:val="left"/>
            </w:pPr>
            <w:r>
              <w:t xml:space="preserve">B1</w:t>
            </w:r>
          </w:p>
        </w:tc>
        <w:tc>
          <w:tcPr/>
          <w:p>
            <w:pPr>
              <w:pStyle w:val="Compact"/>
              <w:jc w:val="left"/>
            </w:pPr>
            <w:r>
              <w:t xml:space="preserve">Scenario using June 50% Exceedance Forecast developed on July 3, 2025.Does not use ramping rate criteria.</w:t>
            </w:r>
          </w:p>
        </w:tc>
      </w:tr>
    </w:tbl>
    <w:bookmarkEnd w:id="30"/>
    <w:bookmarkStart w:id="31" w:name="references"/>
    <w:p>
      <w:pPr>
        <w:pStyle w:val="Heading3"/>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 https://www.cbr.washington.edu/sacramento/). Columbia Basin Research, School of Aquatic and Fishery Sciences, University of Washington.</w:t>
      </w:r>
    </w:p>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2025-07-21T22:43:10Z</dcterms:created>
  <dcterms:modified xsi:type="dcterms:W3CDTF">2025-07-21T22:43:10Z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