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81D0D" w14:textId="59A9F637" w:rsidR="002D1454" w:rsidRPr="002D1454" w:rsidRDefault="002D1454" w:rsidP="00BC7C01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Methods:</w:t>
      </w:r>
    </w:p>
    <w:p w14:paraId="337F104D" w14:textId="06014BDE" w:rsidR="009B3F49" w:rsidRDefault="00E06611" w:rsidP="00BC7C01">
      <w:pPr>
        <w:rPr>
          <w:rFonts w:eastAsiaTheme="minorEastAsia"/>
        </w:rPr>
      </w:pPr>
      <w:r>
        <w:rPr>
          <w:rFonts w:eastAsiaTheme="minorEastAsia"/>
        </w:rPr>
        <w:t>The abundance of larval longfin smelt within the study area of the SLS is currently being estimated following</w:t>
      </w:r>
      <w:r w:rsidR="00BC7C01">
        <w:rPr>
          <w:rFonts w:eastAsiaTheme="minorEastAsia"/>
        </w:rPr>
        <w:t xml:space="preserve"> design-based </w:t>
      </w:r>
      <w:r>
        <w:rPr>
          <w:rFonts w:eastAsiaTheme="minorEastAsia"/>
        </w:rPr>
        <w:t>approach described for Delta smelt by Polansky and coauthors (2019)</w:t>
      </w:r>
      <w:r w:rsidR="009B3F49">
        <w:rPr>
          <w:rFonts w:eastAsiaTheme="minorEastAsia"/>
        </w:rPr>
        <w:t xml:space="preserve">, </w:t>
      </w:r>
      <w:r>
        <w:rPr>
          <w:rFonts w:eastAsiaTheme="minorEastAsia"/>
        </w:rPr>
        <w:t xml:space="preserve">generalized by the 6-Agency Redesign design team </w:t>
      </w:r>
      <w:r w:rsidR="009B3F49">
        <w:rPr>
          <w:rFonts w:eastAsiaTheme="minorEastAsia"/>
        </w:rPr>
        <w:t>for other juvenile pelagic fish in the Delta</w:t>
      </w:r>
      <w:r w:rsidR="00CB7CB6">
        <w:rPr>
          <w:rFonts w:eastAsiaTheme="minorEastAsia"/>
        </w:rPr>
        <w:t xml:space="preserve">, </w:t>
      </w:r>
      <w:r w:rsidR="00FA1C16">
        <w:rPr>
          <w:rFonts w:eastAsiaTheme="minorEastAsia"/>
        </w:rPr>
        <w:t xml:space="preserve">and </w:t>
      </w:r>
      <w:r w:rsidR="00CB7CB6">
        <w:rPr>
          <w:rFonts w:eastAsiaTheme="minorEastAsia"/>
        </w:rPr>
        <w:t>recently adopted</w:t>
      </w:r>
      <w:r w:rsidR="00FA1C16">
        <w:rPr>
          <w:rFonts w:eastAsiaTheme="minorEastAsia"/>
        </w:rPr>
        <w:t xml:space="preserve"> by CDFW</w:t>
      </w:r>
      <w:r w:rsidR="009B3F49">
        <w:rPr>
          <w:rFonts w:eastAsiaTheme="minorEastAsia"/>
        </w:rPr>
        <w:t xml:space="preserve"> in their long-term monitoring report</w:t>
      </w:r>
      <w:r w:rsidR="00CB7CB6">
        <w:rPr>
          <w:rFonts w:eastAsiaTheme="minorEastAsia"/>
        </w:rPr>
        <w:t>s</w:t>
      </w:r>
      <w:r w:rsidR="009B3F49">
        <w:rPr>
          <w:rFonts w:eastAsiaTheme="minorEastAsia"/>
        </w:rPr>
        <w:t xml:space="preserve"> </w:t>
      </w:r>
      <w:r w:rsidR="00D328F0">
        <w:rPr>
          <w:rFonts w:eastAsiaTheme="minorEastAsia"/>
        </w:rPr>
        <w:t>(Malinich et al., 2023</w:t>
      </w:r>
      <w:r w:rsidR="00FA1C16">
        <w:rPr>
          <w:rFonts w:eastAsiaTheme="minorEastAsia"/>
        </w:rPr>
        <w:t xml:space="preserve">). </w:t>
      </w:r>
    </w:p>
    <w:p w14:paraId="60C87A9C" w14:textId="355F44DC" w:rsidR="00BC7C01" w:rsidRPr="00305265" w:rsidRDefault="009B3F49" w:rsidP="00BC7C01">
      <w:pPr>
        <w:rPr>
          <w:rFonts w:eastAsiaTheme="minorEastAsia"/>
          <w:i/>
          <w:iCs/>
        </w:rPr>
      </w:pPr>
      <w:r>
        <w:rPr>
          <w:rFonts w:eastAsiaTheme="minorEastAsia"/>
        </w:rPr>
        <w:t xml:space="preserve">The abundance </w:t>
      </w:r>
      <w:r w:rsidR="00BC7C01">
        <w:rPr>
          <w:rFonts w:eastAsiaTheme="minorEastAsia"/>
        </w:rPr>
        <w:t xml:space="preserve">estimate for </w:t>
      </w:r>
      <w:r>
        <w:rPr>
          <w:rFonts w:eastAsiaTheme="minorEastAsia"/>
        </w:rPr>
        <w:t xml:space="preserve">larval longfin smelt </w:t>
      </w:r>
      <w:r w:rsidR="00BC7C01">
        <w:rPr>
          <w:rFonts w:eastAsiaTheme="minorEastAsia"/>
        </w:rPr>
        <w:t xml:space="preserve">in </w:t>
      </w:r>
      <w:r>
        <w:rPr>
          <w:rFonts w:eastAsiaTheme="minorEastAsia"/>
        </w:rPr>
        <w:t xml:space="preserve">a </w:t>
      </w:r>
      <w:r w:rsidR="00BC7C01">
        <w:rPr>
          <w:rFonts w:eastAsiaTheme="minorEastAsia"/>
        </w:rPr>
        <w:t xml:space="preserve">survey </w:t>
      </w:r>
      <w:r w:rsidR="00BC7C01" w:rsidRPr="006618AA">
        <w:rPr>
          <w:rFonts w:ascii="Cambria Math" w:eastAsiaTheme="minorEastAsia" w:hAnsi="Cambria Math"/>
          <w:i/>
          <w:iCs/>
        </w:rPr>
        <w:t>s</w:t>
      </w:r>
      <w:r w:rsidR="00BC7C01">
        <w:rPr>
          <w:rFonts w:eastAsiaTheme="minorEastAsia"/>
        </w:rPr>
        <w:t xml:space="preserve">, and geographic area </w:t>
      </w:r>
      <m:oMath>
        <m:r>
          <w:rPr>
            <w:rFonts w:ascii="Cambria Math" w:hAnsi="Cambria Math"/>
          </w:rPr>
          <m:t>a</m:t>
        </m:r>
      </m:oMath>
      <w:r w:rsidR="00BC7C01">
        <w:rPr>
          <w:rFonts w:eastAsiaTheme="minorEastAsia"/>
        </w:rPr>
        <w:t xml:space="preserve"> is the product of a region-specific habitat volume,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C7C01">
        <w:rPr>
          <w:rFonts w:eastAsiaTheme="minorEastAsia"/>
        </w:rPr>
        <w:t xml:space="preserve">, and the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CPUV</m:t>
            </m:r>
          </m:e>
          <m:sub>
            <m:r>
              <w:rPr>
                <w:rFonts w:ascii="Cambria Math" w:hAnsi="Cambria Math"/>
              </w:rPr>
              <m:t>s,</m:t>
            </m:r>
            <m:r>
              <w:rPr>
                <w:rFonts w:ascii="Cambria Math" w:hAnsi="Cambria Math"/>
              </w:rPr>
              <m:t>r</m:t>
            </m:r>
          </m:sub>
        </m:sSub>
      </m:oMath>
      <w:r w:rsidR="00BC7C01">
        <w:rPr>
          <w:rFonts w:eastAsiaTheme="minorEastAsia"/>
        </w:rPr>
        <w:t xml:space="preserve"> of </w:t>
      </w:r>
      <w:r w:rsidR="00305265">
        <w:rPr>
          <w:rFonts w:eastAsiaTheme="minorEastAsia"/>
        </w:rPr>
        <w:t>LFS in the</w:t>
      </w:r>
      <w:r>
        <w:rPr>
          <w:rFonts w:eastAsiaTheme="minorEastAsia"/>
        </w:rPr>
        <w:t xml:space="preserve"> SLS</w:t>
      </w:r>
      <w:r w:rsidR="00BC7C01">
        <w:rPr>
          <w:rFonts w:eastAsiaTheme="minorEastAsia"/>
        </w:rPr>
        <w:t xml:space="preserve"> tows in that </w:t>
      </w:r>
      <w:r w:rsidR="00305265">
        <w:rPr>
          <w:rFonts w:eastAsiaTheme="minorEastAsia"/>
        </w:rPr>
        <w:t>region</w:t>
      </w:r>
      <w:r w:rsidR="00BC7C01">
        <w:rPr>
          <w:rFonts w:eastAsiaTheme="minorEastAsia"/>
        </w:rPr>
        <w:t>;</w:t>
      </w:r>
      <w:r>
        <w:rPr>
          <w:rFonts w:eastAsiaTheme="minorEastAsia"/>
        </w:rPr>
        <w:t xml:space="preserve"> </w:t>
      </w:r>
      <w:r w:rsidR="00BC7C0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CPUV</m:t>
            </m:r>
          </m:e>
          <m:sub>
            <m:r>
              <w:rPr>
                <w:rFonts w:ascii="Cambria Math" w:hAnsi="Cambria Math"/>
              </w:rPr>
              <m:t>s,</m:t>
            </m:r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C7C01">
        <w:rPr>
          <w:rFonts w:eastAsiaTheme="minorEastAsia"/>
        </w:rPr>
        <w:t xml:space="preserve">is calculated as the total catch across tows dived by total volume sampled.  These </w:t>
      </w:r>
      <w:r>
        <w:rPr>
          <w:rFonts w:eastAsiaTheme="minorEastAsia"/>
        </w:rPr>
        <w:t>regional</w:t>
      </w:r>
      <w:r w:rsidR="00BC7C01">
        <w:rPr>
          <w:rFonts w:eastAsiaTheme="minorEastAsia"/>
        </w:rPr>
        <w:t xml:space="preserve"> estimates </w:t>
      </w:r>
      <w:r>
        <w:rPr>
          <w:rFonts w:eastAsiaTheme="minorEastAsia"/>
        </w:rPr>
        <w:t>can then</w:t>
      </w:r>
      <w:r w:rsidR="00BC7C01">
        <w:rPr>
          <w:rFonts w:eastAsiaTheme="minorEastAsia"/>
        </w:rPr>
        <w:t xml:space="preserve"> </w:t>
      </w:r>
      <w:r>
        <w:rPr>
          <w:rFonts w:eastAsiaTheme="minorEastAsia"/>
        </w:rPr>
        <w:t>be</w:t>
      </w:r>
      <w:r w:rsidR="00BC7C01">
        <w:rPr>
          <w:rFonts w:eastAsiaTheme="minorEastAsia"/>
        </w:rPr>
        <w:t xml:space="preserve"> summed to produce a Delta-wide</w:t>
      </w:r>
      <w:r>
        <w:rPr>
          <w:rFonts w:eastAsiaTheme="minorEastAsia"/>
        </w:rPr>
        <w:t xml:space="preserve"> abundance</w:t>
      </w:r>
      <w:r w:rsidR="00BC7C01">
        <w:rPr>
          <w:rFonts w:eastAsiaTheme="minorEastAsia"/>
        </w:rPr>
        <w:t xml:space="preserve"> estimate. It is important to note that </w:t>
      </w:r>
      <m:oMath>
        <m:r>
          <w:rPr>
            <w:rFonts w:ascii="Cambria Math" w:hAnsi="Cambria Math"/>
          </w:rPr>
          <m:t>r</m:t>
        </m:r>
      </m:oMath>
      <w:r w:rsidR="00BC7C01">
        <w:rPr>
          <w:rFonts w:eastAsiaTheme="minorEastAsia"/>
        </w:rPr>
        <w:t xml:space="preserve"> can represent any level of geographic aggregation if the corresponding habitat volumes have been calculated. Finer-scale stratification can reduce the impact of selectivity bias, </w:t>
      </w:r>
      <w:r w:rsidR="00305265">
        <w:rPr>
          <w:rFonts w:eastAsiaTheme="minorEastAsia"/>
        </w:rPr>
        <w:t xml:space="preserve">if present, </w:t>
      </w:r>
      <w:r w:rsidR="00BC7C01">
        <w:rPr>
          <w:rFonts w:eastAsiaTheme="minorEastAsia"/>
        </w:rPr>
        <w:t xml:space="preserve">because the effect of a non-representative station </w:t>
      </w:r>
      <w:r>
        <w:rPr>
          <w:rFonts w:eastAsiaTheme="minorEastAsia"/>
        </w:rPr>
        <w:t xml:space="preserve">location </w:t>
      </w:r>
      <w:r w:rsidR="00BC7C01">
        <w:rPr>
          <w:rFonts w:eastAsiaTheme="minorEastAsia"/>
        </w:rPr>
        <w:t xml:space="preserve">impacts a smaller proportion of the overall Delta estimate (Polansky et al., 2019). </w:t>
      </w:r>
      <w:r w:rsidR="00305265">
        <w:rPr>
          <w:rFonts w:eastAsiaTheme="minorEastAsia"/>
        </w:rPr>
        <w:t xml:space="preserve">The abundance index,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305265">
        <w:rPr>
          <w:rFonts w:eastAsiaTheme="minorEastAsia"/>
        </w:rPr>
        <w:t xml:space="preserve">, for </w:t>
      </w:r>
      <w:proofErr w:type="gramStart"/>
      <w:r w:rsidR="00305265">
        <w:rPr>
          <w:rFonts w:eastAsiaTheme="minorEastAsia"/>
        </w:rPr>
        <w:t>a SLS</w:t>
      </w:r>
      <w:proofErr w:type="gramEnd"/>
      <w:r w:rsidR="00305265">
        <w:rPr>
          <w:rFonts w:eastAsiaTheme="minorEastAsia"/>
        </w:rPr>
        <w:t xml:space="preserve"> survey is calculated as:</w:t>
      </w:r>
    </w:p>
    <w:p w14:paraId="06149728" w14:textId="6A9DC40A" w:rsidR="00BC7C01" w:rsidRPr="001F1310" w:rsidRDefault="00BC7C01" w:rsidP="00BC7C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CPUV</m:t>
              </m:r>
            </m:e>
            <m:sub>
              <m:r>
                <w:rPr>
                  <w:rFonts w:ascii="Cambria Math" w:hAnsi="Cambria Math"/>
                </w:rPr>
                <m:t>s,</m:t>
              </m:r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5EF77CE5" w14:textId="77777777" w:rsidR="00BC7C01" w:rsidRPr="009C5D57" w:rsidRDefault="00BC7C01" w:rsidP="00BC7C01">
      <w:pPr>
        <w:rPr>
          <w:rFonts w:eastAsiaTheme="minorEastAsia"/>
        </w:rPr>
      </w:pPr>
      <w:proofErr w:type="gramStart"/>
      <w:r>
        <w:rPr>
          <w:rFonts w:eastAsiaTheme="minorEastAsia"/>
        </w:rPr>
        <w:t>with</w:t>
      </w:r>
      <w:proofErr w:type="gramEnd"/>
    </w:p>
    <w:p w14:paraId="577F5334" w14:textId="1A35E6C6" w:rsidR="00BC7C01" w:rsidRPr="009A6420" w:rsidRDefault="00BC7C01" w:rsidP="00BC7C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CPUV</m:t>
              </m:r>
            </m:e>
            <m:sub>
              <m:r>
                <w:rPr>
                  <w:rFonts w:ascii="Cambria Math" w:hAnsi="Cambria Math"/>
                </w:rPr>
                <m:t>s,r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s,r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s,r</m:t>
                      </m:r>
                    </m:sub>
                  </m:sSub>
                </m:e>
              </m:nary>
            </m:den>
          </m:f>
        </m:oMath>
      </m:oMathPara>
    </w:p>
    <w:p w14:paraId="4AA7CEF4" w14:textId="3FD23A11" w:rsidR="00BC7C01" w:rsidRPr="001F1310" w:rsidRDefault="00E06611" w:rsidP="00BC7C01">
      <w:pPr>
        <w:rPr>
          <w:rFonts w:eastAsiaTheme="minorEastAsia"/>
        </w:rPr>
      </w:pPr>
      <w:r>
        <w:rPr>
          <w:rFonts w:eastAsiaTheme="minorEastAsia"/>
        </w:rPr>
        <w:t>T</w:t>
      </w:r>
      <w:r w:rsidR="00BC7C01">
        <w:rPr>
          <w:rFonts w:eastAsiaTheme="minorEastAsia"/>
        </w:rPr>
        <w:t xml:space="preserve">he variance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s,r</m:t>
            </m:r>
          </m:sub>
        </m:sSub>
      </m:oMath>
      <w:r w:rsidR="00BC7C01">
        <w:rPr>
          <w:rFonts w:eastAsiaTheme="minorEastAsia"/>
        </w:rPr>
        <w:t xml:space="preserve"> </w:t>
      </w:r>
      <w:r w:rsidR="00305265">
        <w:rPr>
          <w:rFonts w:eastAsiaTheme="minorEastAsia"/>
        </w:rPr>
        <w:t>accounts for</w:t>
      </w:r>
      <w:r w:rsidR="00BC7C01">
        <w:rPr>
          <w:rFonts w:eastAsiaTheme="minorEastAsia"/>
        </w:rPr>
        <w:t xml:space="preserve"> the variability in catch between tows</w:t>
      </w:r>
      <w:r>
        <w:rPr>
          <w:rFonts w:eastAsiaTheme="minorEastAsia"/>
        </w:rPr>
        <w:t xml:space="preserve"> within a </w:t>
      </w:r>
      <w:r w:rsidR="00305265">
        <w:rPr>
          <w:rFonts w:eastAsiaTheme="minorEastAsia"/>
        </w:rPr>
        <w:t>region</w:t>
      </w:r>
      <w:r w:rsidR="00BC7C01">
        <w:rPr>
          <w:rFonts w:eastAsiaTheme="minorEastAsia"/>
        </w:rPr>
        <w:t xml:space="preserve">.  </w:t>
      </w:r>
    </w:p>
    <w:p w14:paraId="22BB310C" w14:textId="40184E63" w:rsidR="00BC7C01" w:rsidRDefault="00BC7C01" w:rsidP="00BC7C01">
      <w:pPr>
        <w:rPr>
          <w:rFonts w:eastAsiaTheme="minorEastAsia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Var(</m:t>
              </m:r>
            </m:e>
          </m:ac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s,r</m:t>
              </m:r>
            </m:sub>
          </m:sSub>
          <m:r>
            <w:rPr>
              <w:rFonts w:ascii="Cambria Math" w:hAnsi="Cambria Math"/>
            </w:rPr>
            <m:t xml:space="preserve">)=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s,r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</w:rPr>
                        <m:t>s,r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s,r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s,r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02555B00" w14:textId="77777777" w:rsidR="00BC7C01" w:rsidRPr="009C5D57" w:rsidRDefault="00BC7C01" w:rsidP="00BC7C01">
      <w:proofErr w:type="gramStart"/>
      <w:r>
        <w:t>with</w:t>
      </w:r>
      <w:proofErr w:type="gramEnd"/>
    </w:p>
    <w:p w14:paraId="1F90C6F9" w14:textId="4488F88C" w:rsidR="00BC7C01" w:rsidRPr="00E075EB" w:rsidRDefault="00BC7C01" w:rsidP="00BC7C0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</w:rPr>
                <m:t>s,r</m:t>
              </m:r>
            </m:sub>
          </m:sSub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s,r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s,r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CPUV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s,r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s,r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s,r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den>
              </m:f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102E0C3D" w14:textId="77777777" w:rsidR="00BC7C01" w:rsidRPr="009C5D57" w:rsidRDefault="00BC7C01" w:rsidP="00BC7C01"/>
    <w:p w14:paraId="5198391B" w14:textId="7E108DCD" w:rsidR="00BC7C01" w:rsidRDefault="00BC7C01" w:rsidP="00BC7C01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s,r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s,r</m:t>
            </m:r>
          </m:sub>
        </m:sSub>
      </m:oMath>
      <w:r>
        <w:rPr>
          <w:rFonts w:eastAsiaTheme="minorEastAsia"/>
        </w:rPr>
        <w:t xml:space="preserve"> are the catch and volume of a single tow </w:t>
      </w:r>
      <w:r w:rsidRPr="006458D7">
        <w:rPr>
          <w:rFonts w:ascii="Cambria Math" w:eastAsiaTheme="minorEastAsia" w:hAnsi="Cambria Math"/>
          <w:i/>
          <w:iCs/>
        </w:rPr>
        <w:t>j</w:t>
      </w:r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s,r</m:t>
            </m:r>
          </m:sub>
        </m:sSub>
      </m:oMath>
      <w:r>
        <w:rPr>
          <w:rFonts w:eastAsiaTheme="minorEastAsia"/>
        </w:rPr>
        <w:t xml:space="preserve"> is </w:t>
      </w:r>
      <w:r w:rsidR="00305265">
        <w:rPr>
          <w:rFonts w:eastAsiaTheme="minorEastAsia"/>
        </w:rPr>
        <w:t>the mean</w:t>
      </w:r>
      <w:r>
        <w:rPr>
          <w:rFonts w:eastAsiaTheme="minorEastAsia"/>
        </w:rPr>
        <w:t xml:space="preserve"> volume of tows in </w:t>
      </w:r>
      <w:r w:rsidR="00305265">
        <w:rPr>
          <w:rFonts w:eastAsiaTheme="minorEastAsia"/>
        </w:rPr>
        <w:t>a survey and region</w:t>
      </w:r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s,r</m:t>
            </m:r>
          </m:sub>
        </m:sSub>
      </m:oMath>
      <w:r w:rsidR="00305265">
        <w:rPr>
          <w:rFonts w:eastAsiaTheme="minorEastAsia"/>
        </w:rPr>
        <w:t xml:space="preserve"> is the number of tows conducted</w:t>
      </w:r>
      <w:r>
        <w:rPr>
          <w:rFonts w:eastAsiaTheme="minorEastAsia"/>
        </w:rPr>
        <w:t>. Polansky et al. (2019) add to this variance formula to incorporate uncertainty in size-selectivity</w:t>
      </w:r>
      <w:r w:rsidR="00CB7CB6">
        <w:rPr>
          <w:rFonts w:eastAsiaTheme="minorEastAsia"/>
        </w:rPr>
        <w:t xml:space="preserve"> and gear efficiency</w:t>
      </w:r>
      <w:r>
        <w:rPr>
          <w:rFonts w:eastAsiaTheme="minorEastAsia"/>
        </w:rPr>
        <w:t xml:space="preserve">, </w:t>
      </w:r>
      <w:r w:rsidR="00CB7CB6">
        <w:rPr>
          <w:rFonts w:eastAsiaTheme="minorEastAsia"/>
        </w:rPr>
        <w:t xml:space="preserve">but for larval fish we </w:t>
      </w:r>
      <w:r w:rsidR="002D1454">
        <w:rPr>
          <w:rFonts w:eastAsiaTheme="minorEastAsia"/>
        </w:rPr>
        <w:t>assume</w:t>
      </w:r>
      <w:r w:rsidR="00CB7CB6">
        <w:rPr>
          <w:rFonts w:eastAsiaTheme="minorEastAsia"/>
        </w:rPr>
        <w:t xml:space="preserve"> that the contribution of these variance components would be minimal. </w:t>
      </w:r>
      <w:r>
        <w:rPr>
          <w:rFonts w:eastAsiaTheme="minorEastAsia"/>
        </w:rPr>
        <w:t xml:space="preserve"> </w:t>
      </w:r>
    </w:p>
    <w:p w14:paraId="3F1EE50D" w14:textId="77777777" w:rsidR="00BC7C01" w:rsidRDefault="00BC7C01"/>
    <w:p w14:paraId="45EE1D13" w14:textId="77777777" w:rsidR="0073697C" w:rsidRDefault="0073697C" w:rsidP="002D1454">
      <w:pPr>
        <w:rPr>
          <w:rFonts w:eastAsiaTheme="minorEastAsia"/>
          <w:b/>
          <w:bCs/>
        </w:rPr>
      </w:pPr>
    </w:p>
    <w:p w14:paraId="1D80D8D9" w14:textId="77777777" w:rsidR="0073697C" w:rsidRDefault="0073697C" w:rsidP="002D1454">
      <w:pPr>
        <w:rPr>
          <w:rFonts w:eastAsiaTheme="minorEastAsia"/>
          <w:b/>
          <w:bCs/>
        </w:rPr>
      </w:pPr>
    </w:p>
    <w:p w14:paraId="268269D1" w14:textId="77777777" w:rsidR="0073697C" w:rsidRDefault="0073697C" w:rsidP="002D1454">
      <w:pPr>
        <w:rPr>
          <w:rFonts w:eastAsiaTheme="minorEastAsia"/>
          <w:b/>
          <w:bCs/>
        </w:rPr>
      </w:pPr>
    </w:p>
    <w:p w14:paraId="5F98EDE1" w14:textId="77777777" w:rsidR="0073697C" w:rsidRDefault="0073697C" w:rsidP="002D1454">
      <w:pPr>
        <w:rPr>
          <w:rFonts w:eastAsiaTheme="minorEastAsia"/>
          <w:b/>
          <w:bCs/>
        </w:rPr>
      </w:pPr>
    </w:p>
    <w:p w14:paraId="41935AE5" w14:textId="742236B0" w:rsidR="002D1454" w:rsidRPr="002D1454" w:rsidRDefault="002D1454" w:rsidP="002D145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Results</w:t>
      </w:r>
      <w:r>
        <w:rPr>
          <w:rFonts w:eastAsiaTheme="minorEastAsia"/>
          <w:b/>
          <w:bCs/>
        </w:rPr>
        <w:t>:</w:t>
      </w:r>
    </w:p>
    <w:p w14:paraId="71A18903" w14:textId="77777777" w:rsidR="00CB7CB6" w:rsidRDefault="00CB7CB6"/>
    <w:p w14:paraId="1452737C" w14:textId="0F10B3E4" w:rsidR="0073697C" w:rsidRDefault="0073697C">
      <w:r>
        <w:t>Table 1. Larval Longfin Smelt Abundance Estimates (millions of larval LFS), by Survey</w:t>
      </w:r>
    </w:p>
    <w:tbl>
      <w:tblPr>
        <w:tblStyle w:val="TableGrid"/>
        <w:tblW w:w="7418" w:type="dxa"/>
        <w:tblLook w:val="04A0" w:firstRow="1" w:lastRow="0" w:firstColumn="1" w:lastColumn="0" w:noHBand="0" w:noVBand="1"/>
      </w:tblPr>
      <w:tblGrid>
        <w:gridCol w:w="2580"/>
        <w:gridCol w:w="2375"/>
        <w:gridCol w:w="2463"/>
      </w:tblGrid>
      <w:tr w:rsidR="0073697C" w:rsidRPr="0073697C" w14:paraId="36B36590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B155E" w14:textId="77777777" w:rsidR="0073697C" w:rsidRPr="0073697C" w:rsidRDefault="0073697C" w:rsidP="0073697C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35AF896C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Survey 1 (12/29)</w:t>
            </w:r>
          </w:p>
        </w:tc>
        <w:tc>
          <w:tcPr>
            <w:tcW w:w="246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hideMark/>
          </w:tcPr>
          <w:p w14:paraId="2A37B8A5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Survey 1 (1/12)</w:t>
            </w:r>
          </w:p>
        </w:tc>
      </w:tr>
      <w:tr w:rsidR="0073697C" w:rsidRPr="0073697C" w14:paraId="7006F15A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4C1411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Western Delta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</w:tcBorders>
            <w:noWrap/>
            <w:hideMark/>
          </w:tcPr>
          <w:p w14:paraId="50AA7FFB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1.747 (0.926 - 3.01)</w:t>
            </w:r>
          </w:p>
        </w:tc>
        <w:tc>
          <w:tcPr>
            <w:tcW w:w="2463" w:type="dxa"/>
            <w:tcBorders>
              <w:top w:val="single" w:sz="4" w:space="0" w:color="auto"/>
            </w:tcBorders>
            <w:noWrap/>
            <w:hideMark/>
          </w:tcPr>
          <w:p w14:paraId="37FC95AD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19.443 (4.79 - 53.9)</w:t>
            </w:r>
          </w:p>
        </w:tc>
      </w:tr>
      <w:tr w:rsidR="0073697C" w:rsidRPr="0073697C" w14:paraId="708235E0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65EBED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South Delta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4218C208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  <w:tc>
          <w:tcPr>
            <w:tcW w:w="2463" w:type="dxa"/>
            <w:noWrap/>
            <w:hideMark/>
          </w:tcPr>
          <w:p w14:paraId="4AD88C11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</w:tr>
      <w:tr w:rsidR="0073697C" w:rsidRPr="0073697C" w14:paraId="53F3862F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E59BA13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Eastern Delta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634453BA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  <w:tc>
          <w:tcPr>
            <w:tcW w:w="2463" w:type="dxa"/>
            <w:noWrap/>
            <w:hideMark/>
          </w:tcPr>
          <w:p w14:paraId="4F4CE4D4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</w:tr>
      <w:tr w:rsidR="0073697C" w:rsidRPr="0073697C" w14:paraId="1C443DB2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06FABDD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Suisun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1721219E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4.73 (1.714 - 10.532)</w:t>
            </w:r>
          </w:p>
        </w:tc>
        <w:tc>
          <w:tcPr>
            <w:tcW w:w="2463" w:type="dxa"/>
            <w:noWrap/>
            <w:hideMark/>
          </w:tcPr>
          <w:p w14:paraId="6D136630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11.003 (10.407 - 11.623)</w:t>
            </w:r>
          </w:p>
        </w:tc>
      </w:tr>
      <w:tr w:rsidR="0073697C" w:rsidRPr="0073697C" w14:paraId="271DBBAA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FF8BB1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Lower Sacramento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669EB75A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0.332 (0.132 - 0.695)</w:t>
            </w:r>
          </w:p>
        </w:tc>
        <w:tc>
          <w:tcPr>
            <w:tcW w:w="2463" w:type="dxa"/>
            <w:noWrap/>
            <w:hideMark/>
          </w:tcPr>
          <w:p w14:paraId="71ECDE6C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0.29 (0.056 - 0.905)</w:t>
            </w:r>
          </w:p>
        </w:tc>
      </w:tr>
      <w:tr w:rsidR="0073697C" w:rsidRPr="0073697C" w14:paraId="11BA8868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AB527EC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Lower San Joaquin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52C9674B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0.56 (0.459 - 0.678)</w:t>
            </w:r>
          </w:p>
        </w:tc>
        <w:tc>
          <w:tcPr>
            <w:tcW w:w="2463" w:type="dxa"/>
            <w:noWrap/>
            <w:hideMark/>
          </w:tcPr>
          <w:p w14:paraId="138C8AEE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0.425 (0.278 - 0.622)</w:t>
            </w:r>
          </w:p>
        </w:tc>
      </w:tr>
      <w:tr w:rsidR="0073697C" w:rsidRPr="0073697C" w14:paraId="060F6256" w14:textId="77777777" w:rsidTr="0073697C">
        <w:trPr>
          <w:trHeight w:val="309"/>
        </w:trPr>
        <w:tc>
          <w:tcPr>
            <w:tcW w:w="2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0FBD3F" w14:textId="77777777" w:rsidR="0073697C" w:rsidRPr="0073697C" w:rsidRDefault="0073697C" w:rsidP="0073697C">
            <w:pPr>
              <w:spacing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Sacramento/ North Delta</w:t>
            </w:r>
          </w:p>
        </w:tc>
        <w:tc>
          <w:tcPr>
            <w:tcW w:w="2375" w:type="dxa"/>
            <w:tcBorders>
              <w:left w:val="single" w:sz="4" w:space="0" w:color="auto"/>
            </w:tcBorders>
            <w:noWrap/>
            <w:hideMark/>
          </w:tcPr>
          <w:p w14:paraId="42DBEDF5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  <w:tc>
          <w:tcPr>
            <w:tcW w:w="2463" w:type="dxa"/>
            <w:noWrap/>
            <w:hideMark/>
          </w:tcPr>
          <w:p w14:paraId="0A44A234" w14:textId="77777777" w:rsidR="0073697C" w:rsidRPr="0073697C" w:rsidRDefault="0073697C" w:rsidP="0073697C">
            <w:pPr>
              <w:spacing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73697C">
              <w:rPr>
                <w:rFonts w:ascii="Aptos Narrow" w:eastAsia="Times New Roman" w:hAnsi="Aptos Narrow" w:cs="Times New Roman"/>
                <w:color w:val="000000"/>
              </w:rPr>
              <w:t>0 (0 - 0)</w:t>
            </w:r>
          </w:p>
        </w:tc>
      </w:tr>
    </w:tbl>
    <w:p w14:paraId="1D741007" w14:textId="77777777" w:rsidR="00CB7CB6" w:rsidRDefault="00CB7CB6"/>
    <w:p w14:paraId="51A0AE9D" w14:textId="77777777" w:rsidR="00CB7CB6" w:rsidRDefault="00CB7CB6"/>
    <w:p w14:paraId="31BA5E91" w14:textId="6EB37CC5" w:rsidR="00CB7CB6" w:rsidRPr="002D1454" w:rsidRDefault="00CB7CB6">
      <w:pPr>
        <w:rPr>
          <w:b/>
          <w:bCs/>
        </w:rPr>
      </w:pPr>
      <w:r w:rsidRPr="002D1454">
        <w:rPr>
          <w:b/>
          <w:bCs/>
        </w:rPr>
        <w:t>References:</w:t>
      </w:r>
    </w:p>
    <w:p w14:paraId="0B32A3E1" w14:textId="43BA9D81" w:rsidR="002D1454" w:rsidRPr="002D1454" w:rsidRDefault="002D1454">
      <w:pPr>
        <w:rPr>
          <w:i/>
          <w:iCs/>
        </w:rPr>
      </w:pPr>
      <w:r w:rsidRPr="002D1454">
        <w:t>Malinich, T. D., White,</w:t>
      </w:r>
      <w:r w:rsidRPr="002D1454">
        <w:t xml:space="preserve"> </w:t>
      </w:r>
      <w:r w:rsidRPr="002D1454">
        <w:t>J. R.</w:t>
      </w:r>
      <w:r>
        <w:t>,</w:t>
      </w:r>
      <w:r w:rsidRPr="002D1454">
        <w:t xml:space="preserve"> Hieb, K.</w:t>
      </w:r>
      <w:r>
        <w:t xml:space="preserve">, </w:t>
      </w:r>
      <w:r w:rsidRPr="002D1454">
        <w:t>Nanninga,</w:t>
      </w:r>
      <w:r>
        <w:t xml:space="preserve"> </w:t>
      </w:r>
      <w:r w:rsidRPr="002D1454">
        <w:t>A. S.</w:t>
      </w:r>
      <w:r>
        <w:t>,</w:t>
      </w:r>
      <w:r w:rsidRPr="002D1454">
        <w:t xml:space="preserve"> Slater,</w:t>
      </w:r>
      <w:r w:rsidRPr="002D1454">
        <w:t xml:space="preserve"> </w:t>
      </w:r>
      <w:proofErr w:type="gramStart"/>
      <w:r w:rsidRPr="002D1454">
        <w:t>S. B</w:t>
      </w:r>
      <w:proofErr w:type="gramEnd"/>
      <w:r w:rsidRPr="002D1454">
        <w:t xml:space="preserve">. </w:t>
      </w:r>
      <w:r>
        <w:t xml:space="preserve">&amp; </w:t>
      </w:r>
      <w:r w:rsidRPr="002D1454">
        <w:t>Hobbs</w:t>
      </w:r>
      <w:r>
        <w:t>,</w:t>
      </w:r>
      <w:r w:rsidRPr="002D1454">
        <w:t xml:space="preserve"> </w:t>
      </w:r>
      <w:r w:rsidRPr="002D1454">
        <w:t>J. A.</w:t>
      </w:r>
      <w:r>
        <w:t xml:space="preserve"> (2023). 2022 Status and Trends Report for Pelagic Fishes in the Upper San Francisco Estuary. </w:t>
      </w:r>
      <w:r>
        <w:rPr>
          <w:i/>
          <w:iCs/>
        </w:rPr>
        <w:t xml:space="preserve">Interagency Ecological Program Newsletter, </w:t>
      </w:r>
    </w:p>
    <w:p w14:paraId="38D35B55" w14:textId="5B775698" w:rsidR="00CB7CB6" w:rsidRDefault="002D1454">
      <w:r w:rsidRPr="002D1454">
        <w:t>Polansky, L., Mitchell, L., &amp; Newman, K. B. (2019). Using multistage design</w:t>
      </w:r>
      <w:r w:rsidRPr="002D1454">
        <w:rPr>
          <w:rFonts w:ascii="Cambria Math" w:hAnsi="Cambria Math" w:cs="Cambria Math"/>
        </w:rPr>
        <w:t>‐</w:t>
      </w:r>
      <w:r w:rsidRPr="002D1454">
        <w:t>based methods to construct abundance indices and uncertainty measures for Delta Smelt.</w:t>
      </w:r>
      <w:r w:rsidRPr="002D1454">
        <w:rPr>
          <w:rFonts w:ascii="Aptos" w:hAnsi="Aptos" w:cs="Aptos"/>
        </w:rPr>
        <w:t> </w:t>
      </w:r>
      <w:r w:rsidRPr="002D1454">
        <w:rPr>
          <w:i/>
          <w:iCs/>
        </w:rPr>
        <w:t>Transactions of the American Fisheries Society</w:t>
      </w:r>
      <w:r w:rsidRPr="002D1454">
        <w:t>, </w:t>
      </w:r>
      <w:r w:rsidRPr="002D1454">
        <w:rPr>
          <w:i/>
          <w:iCs/>
        </w:rPr>
        <w:t>148</w:t>
      </w:r>
      <w:r w:rsidRPr="002D1454">
        <w:t>(4), 710-724.</w:t>
      </w:r>
    </w:p>
    <w:sectPr w:rsidR="00CB7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C01"/>
    <w:rsid w:val="002D1454"/>
    <w:rsid w:val="00305265"/>
    <w:rsid w:val="006B6D8F"/>
    <w:rsid w:val="0073697C"/>
    <w:rsid w:val="009B3F49"/>
    <w:rsid w:val="00BC7C01"/>
    <w:rsid w:val="00CB7CB6"/>
    <w:rsid w:val="00D328F0"/>
    <w:rsid w:val="00E06611"/>
    <w:rsid w:val="00FA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9F31"/>
  <w15:chartTrackingRefBased/>
  <w15:docId w15:val="{51DA8733-3B68-421B-B5E3-ABB56946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0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C0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C0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C0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C0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C0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C0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C0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C0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C0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C0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C0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C0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7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C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6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467</Words>
  <Characters>2497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ICF</Company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Tillotson, Michael</dc:creator>
  <cp:keywords/>
  <dc:description/>
  <cp:lastModifiedBy>Tillotson, Michael</cp:lastModifiedBy>
  <cp:revision>1</cp:revision>
  <dcterms:created xsi:type="dcterms:W3CDTF">2026-01-27T19:02:00Z</dcterms:created>
  <dcterms:modified xsi:type="dcterms:W3CDTF">2026-01-29T17:42:00Z</dcterms:modified>
</cp:coreProperties>
</file>