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09,</w:t>
      </w:r>
      <w:r>
        <w:t xml:space="preserve"> </w:t>
      </w:r>
      <w:r>
        <w:t xml:space="preserve">2023</w:t>
      </w:r>
    </w:p>
    <w:bookmarkStart w:id="34" w:name="chinook-salmon"/>
    <w:p>
      <w:pPr>
        <w:pStyle w:val="Heading2"/>
      </w:pPr>
      <w:r>
        <w:t xml:space="preserve">Chinook Salmon</w:t>
      </w:r>
    </w:p>
    <w:bookmarkStart w:id="25" w:name="tables"/>
    <w:p>
      <w:pPr>
        <w:pStyle w:val="Heading3"/>
      </w:pPr>
      <w:r>
        <w:t xml:space="preserve">TABLES</w:t>
      </w:r>
    </w:p>
    <w:bookmarkStart w:id="20" w:name="Xfdf3e2f84b4cb594c012e8e41cb8909bf79095f"/>
    <w:p>
      <w:pPr>
        <w:pStyle w:val="Heading4"/>
      </w:pPr>
      <w:r>
        <w:t xml:space="preserve">TABLE 2. Historic migration and salvage patterns.Last updated 01/09/2023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96.9%(94.6%,99.2%)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66.3%(42.0%,90.6%)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67.0%(40.1%,94.0%)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34.4%(4.9%,63.9%)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4.9%(-2.8%,12.6%)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16.4%(0.4%,32.4%) WY: 2013 - 2022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13.5%(3.6%,23.3%)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15.3%(0.2%,30.4%)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24.6%(2.2%,47.0%)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4.9%(-3.3%,13.0%)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6.1%(-2.9%,15.1%) WY: 2013 - 2022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</w:tbl>
    <w:p>
      <w:r>
        <w:br w:type="page"/>
      </w:r>
    </w:p>
    <w:bookmarkEnd w:id="20"/>
    <w:bookmarkStart w:id="21" w:name="X666602b2341af552c9b377e12618dc7a9f76214"/>
    <w:p>
      <w:pPr>
        <w:pStyle w:val="Heading4"/>
      </w:pPr>
      <w:r>
        <w:t xml:space="preserve">TABLE 3.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 Triggered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1/8/2023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 Change&gt;50%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 Change&gt;50%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24,401.6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1/7/2023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25,198.9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1/6/2023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23,013.5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1/5/2023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 Change&gt;50%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 Change&gt;50%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WLK&gt;7500cfs and KNL&lt;56.3F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1/3/2023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18,637.2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WLK&gt;7500cfs and KNL&lt;56.3F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1/2/2023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23,377.3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2899f819be12d3543a9c5256c865dd23cc897fd"/>
    <w:p>
      <w:pPr>
        <w:pStyle w:val="Heading4"/>
      </w:pPr>
      <w:r>
        <w:t xml:space="preserve">TABLE 4. STARS model simulations for route-specific entrainment, travel times, and survival. Travel time is calculated in days.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Yolo Bypass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 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 Cross Channel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Georgiana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and 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</w:tbl>
    <w:p>
      <w:r>
        <w:br w:type="page"/>
      </w:r>
    </w:p>
    <w:bookmarkEnd w:id="22"/>
    <w:bookmarkStart w:id="23" w:name="Xab3ee48bf9bcbf7a0a27c44ac91aed475be5cab"/>
    <w:p>
      <w:pPr>
        <w:pStyle w:val="Heading4"/>
      </w:pPr>
      <w:r>
        <w:t xml:space="preserve">TABLE 5. a) WY 2022 loss and salvage predictor data: Predicted weekly loss of winter-run Chinook salmon and steelhead at CVP and SWP facilities.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673"/>
        <w:gridCol w:w="239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Current 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Next Week</w:t>
            </w:r>
          </w:p>
        </w:tc>
      </w:tr>
      <w:tr>
        <w:trPr>
          <w:cantSplit/>
          <w:trHeight w:val="60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</w:tbl>
    <w:bookmarkEnd w:id="23"/>
    <w:bookmarkStart w:id="24" w:name="Xcd1f1f3ef0e3ae3f8e8c9547ae9a74fe952975d"/>
    <w:p>
      <w:pPr>
        <w:pStyle w:val="Heading4"/>
      </w:pPr>
      <w:r>
        <w:t xml:space="preserve">TABLE 5. b) Environmental details, current and forecast.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047"/>
        <w:gridCol w:w="1266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Forecast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(Mallard Island, 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Precipitation (5-d running sum, 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 and Middle River Flows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-3039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 Flow (Freeport,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6993</w:t>
            </w:r>
          </w:p>
        </w:tc>
      </w:tr>
      <w:tr>
        <w:trPr>
          <w:cantSplit/>
          <w:trHeight w:val="574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DCC Gates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Joaquin River Flow (Vernalis,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612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1887</w:t>
            </w:r>
          </w:p>
        </w:tc>
      </w:tr>
    </w:tbl>
    <w:p>
      <w:r>
        <w:br w:type="page"/>
      </w:r>
    </w:p>
    <w:bookmarkEnd w:id="24"/>
    <w:bookmarkEnd w:id="25"/>
    <w:bookmarkStart w:id="33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7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wint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0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stlh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X3500565b92e40d981f7afbc63258490365d37b8"/>
    <w:p>
      <w:pPr>
        <w:pStyle w:val="Heading4"/>
      </w:pPr>
      <w:r>
        <w:t xml:space="preserve">Figure 1. Predicted weekly loss of steelhead and winter-run Chinook salmon at the CVP and SWP facilities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2023-01-09T18:43:41Z</dcterms:created>
  <dcterms:modified xsi:type="dcterms:W3CDTF">2023-01-09T18:43:41Z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09, 2023</vt:lpwstr>
  </property>
  <property fmtid="{D5CDD505-2E9C-101B-9397-08002B2CF9AE}" pid="3" name="output">
    <vt:lpwstr>word_document</vt:lpwstr>
  </property>
</Properties>
</file>