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1005" w14:textId="77777777" w:rsidR="00DE2034" w:rsidRPr="003C31DF" w:rsidRDefault="00AA4ABB">
      <w:pPr>
        <w:rPr>
          <w:rFonts w:ascii="Times New Roman" w:hAnsi="Times New Roman" w:cs="Times New Roman"/>
          <w:sz w:val="28"/>
        </w:rPr>
      </w:pPr>
      <w:bookmarkStart w:id="0" w:name="_GoBack"/>
      <w:bookmarkEnd w:id="0"/>
      <w:r w:rsidRPr="003C31DF">
        <w:rPr>
          <w:rFonts w:ascii="Times New Roman" w:hAnsi="Times New Roman" w:cs="Times New Roman"/>
          <w:sz w:val="28"/>
        </w:rPr>
        <w:t xml:space="preserve">Estimating </w:t>
      </w:r>
      <w:r w:rsidR="00CD79AF">
        <w:rPr>
          <w:rFonts w:ascii="Times New Roman" w:hAnsi="Times New Roman" w:cs="Times New Roman"/>
          <w:sz w:val="28"/>
        </w:rPr>
        <w:t>H</w:t>
      </w:r>
      <w:r w:rsidR="003C31DF">
        <w:rPr>
          <w:rFonts w:ascii="Times New Roman" w:hAnsi="Times New Roman" w:cs="Times New Roman"/>
          <w:sz w:val="28"/>
        </w:rPr>
        <w:t xml:space="preserve">istorical </w:t>
      </w:r>
      <w:r w:rsidR="00CD79AF">
        <w:rPr>
          <w:rFonts w:ascii="Times New Roman" w:hAnsi="Times New Roman" w:cs="Times New Roman"/>
          <w:sz w:val="28"/>
        </w:rPr>
        <w:t>S</w:t>
      </w:r>
      <w:r w:rsidR="003C31DF">
        <w:rPr>
          <w:rFonts w:ascii="Times New Roman" w:hAnsi="Times New Roman" w:cs="Times New Roman"/>
          <w:sz w:val="28"/>
        </w:rPr>
        <w:t>alva</w:t>
      </w:r>
      <w:r w:rsidRPr="003C31DF">
        <w:rPr>
          <w:rFonts w:ascii="Times New Roman" w:hAnsi="Times New Roman" w:cs="Times New Roman"/>
          <w:sz w:val="28"/>
        </w:rPr>
        <w:t>ge via Negative Binomial Regression</w:t>
      </w:r>
    </w:p>
    <w:p w14:paraId="2354689C" w14:textId="77777777" w:rsidR="004B5DB8" w:rsidRPr="00A13537" w:rsidRDefault="004B5DB8">
      <w:pPr>
        <w:rPr>
          <w:rFonts w:ascii="Times New Roman" w:hAnsi="Times New Roman" w:cs="Times New Roman"/>
          <w:smallCaps/>
        </w:rPr>
      </w:pPr>
      <w:r w:rsidRPr="00A13537">
        <w:rPr>
          <w:rFonts w:ascii="Times New Roman" w:hAnsi="Times New Roman" w:cs="Times New Roman"/>
          <w:smallCaps/>
        </w:rPr>
        <w:t>Background</w:t>
      </w:r>
    </w:p>
    <w:p w14:paraId="783DE583" w14:textId="77777777" w:rsidR="00AA4ABB" w:rsidRDefault="00AA4ABB">
      <w:pPr>
        <w:rPr>
          <w:rFonts w:ascii="Times New Roman" w:hAnsi="Times New Roman" w:cs="Times New Roman"/>
        </w:rPr>
      </w:pPr>
      <w:r w:rsidRPr="003C31DF">
        <w:rPr>
          <w:rFonts w:ascii="Times New Roman" w:hAnsi="Times New Roman" w:cs="Times New Roman"/>
        </w:rPr>
        <w:t xml:space="preserve">The following document provides </w:t>
      </w:r>
      <w:r w:rsidR="003C31DF" w:rsidRPr="003C31DF">
        <w:rPr>
          <w:rFonts w:ascii="Times New Roman" w:hAnsi="Times New Roman" w:cs="Times New Roman"/>
        </w:rPr>
        <w:t>a summary</w:t>
      </w:r>
      <w:r w:rsidRPr="003C31DF">
        <w:rPr>
          <w:rFonts w:ascii="Times New Roman" w:hAnsi="Times New Roman" w:cs="Times New Roman"/>
        </w:rPr>
        <w:t xml:space="preserve"> of an analysis focused on evaluating the </w:t>
      </w:r>
      <w:r w:rsidR="003C31DF" w:rsidRPr="003C31DF">
        <w:rPr>
          <w:rFonts w:ascii="Times New Roman" w:hAnsi="Times New Roman" w:cs="Times New Roman"/>
        </w:rPr>
        <w:t>effects of CVP operations</w:t>
      </w:r>
      <w:r w:rsidR="001452AC">
        <w:rPr>
          <w:rFonts w:ascii="Times New Roman" w:hAnsi="Times New Roman" w:cs="Times New Roman"/>
        </w:rPr>
        <w:t xml:space="preserve"> (i.e., exports and OMR)</w:t>
      </w:r>
      <w:r w:rsidR="003C31DF" w:rsidRPr="003C31DF">
        <w:rPr>
          <w:rFonts w:ascii="Times New Roman" w:hAnsi="Times New Roman" w:cs="Times New Roman"/>
        </w:rPr>
        <w:t xml:space="preserve"> on historical </w:t>
      </w:r>
      <w:r w:rsidR="009748C9">
        <w:rPr>
          <w:rFonts w:ascii="Times New Roman" w:hAnsi="Times New Roman" w:cs="Times New Roman"/>
        </w:rPr>
        <w:t xml:space="preserve">monthly </w:t>
      </w:r>
      <w:r w:rsidR="003C31DF" w:rsidRPr="003C31DF">
        <w:rPr>
          <w:rFonts w:ascii="Times New Roman" w:hAnsi="Times New Roman" w:cs="Times New Roman"/>
        </w:rPr>
        <w:t>salvage</w:t>
      </w:r>
      <w:r w:rsidR="004B5DB8">
        <w:rPr>
          <w:rFonts w:ascii="Times New Roman" w:hAnsi="Times New Roman" w:cs="Times New Roman"/>
        </w:rPr>
        <w:t xml:space="preserve"> (1993-2013)</w:t>
      </w:r>
      <w:r w:rsidR="003C31DF" w:rsidRPr="003C31DF">
        <w:rPr>
          <w:rFonts w:ascii="Times New Roman" w:hAnsi="Times New Roman" w:cs="Times New Roman"/>
        </w:rPr>
        <w:t xml:space="preserve"> of Winter</w:t>
      </w:r>
      <w:r w:rsidR="00FB6D79">
        <w:rPr>
          <w:rFonts w:ascii="Times New Roman" w:hAnsi="Times New Roman" w:cs="Times New Roman"/>
        </w:rPr>
        <w:t>-</w:t>
      </w:r>
      <w:r w:rsidR="003C31DF" w:rsidRPr="003C31DF">
        <w:rPr>
          <w:rFonts w:ascii="Times New Roman" w:hAnsi="Times New Roman" w:cs="Times New Roman"/>
        </w:rPr>
        <w:t xml:space="preserve">Run salmon. The factors examined in this analysis include OMR, exports, </w:t>
      </w:r>
      <w:r w:rsidR="0038034D">
        <w:rPr>
          <w:rFonts w:ascii="Times New Roman" w:hAnsi="Times New Roman" w:cs="Times New Roman"/>
        </w:rPr>
        <w:t>prior year escapement</w:t>
      </w:r>
      <w:r w:rsidR="003C31DF" w:rsidRPr="003C31DF">
        <w:rPr>
          <w:rFonts w:ascii="Times New Roman" w:hAnsi="Times New Roman" w:cs="Times New Roman"/>
        </w:rPr>
        <w:t>, Sacramento River discharge</w:t>
      </w:r>
      <w:r w:rsidR="0038034D">
        <w:rPr>
          <w:rFonts w:ascii="Times New Roman" w:hAnsi="Times New Roman" w:cs="Times New Roman"/>
        </w:rPr>
        <w:t xml:space="preserve"> at Verona</w:t>
      </w:r>
      <w:r w:rsidR="003C31DF" w:rsidRPr="003C31DF">
        <w:rPr>
          <w:rFonts w:ascii="Times New Roman" w:hAnsi="Times New Roman" w:cs="Times New Roman"/>
        </w:rPr>
        <w:t>, and month (</w:t>
      </w:r>
      <w:r w:rsidR="00DB3374">
        <w:rPr>
          <w:rFonts w:ascii="Times New Roman" w:hAnsi="Times New Roman" w:cs="Times New Roman"/>
        </w:rPr>
        <w:t xml:space="preserve">December – April). </w:t>
      </w:r>
      <w:r w:rsidR="004B5DB8">
        <w:rPr>
          <w:rFonts w:ascii="Times New Roman" w:hAnsi="Times New Roman" w:cs="Times New Roman"/>
        </w:rPr>
        <w:t xml:space="preserve">We included prior year </w:t>
      </w:r>
      <w:r w:rsidR="00FB6D79">
        <w:rPr>
          <w:rFonts w:ascii="Times New Roman" w:hAnsi="Times New Roman" w:cs="Times New Roman"/>
        </w:rPr>
        <w:t xml:space="preserve">Winter-Run </w:t>
      </w:r>
      <w:r w:rsidR="004B5DB8">
        <w:rPr>
          <w:rFonts w:ascii="Times New Roman" w:hAnsi="Times New Roman" w:cs="Times New Roman"/>
        </w:rPr>
        <w:t>escapement and Sacramento River discharge as potential variables to account for potential effects of population size and flow in the analysis.</w:t>
      </w:r>
    </w:p>
    <w:p w14:paraId="799ABF4F" w14:textId="77777777" w:rsidR="004B5DB8" w:rsidRPr="00A13537" w:rsidRDefault="004B5DB8">
      <w:pPr>
        <w:rPr>
          <w:rFonts w:ascii="Times New Roman" w:hAnsi="Times New Roman" w:cs="Times New Roman"/>
          <w:smallCaps/>
        </w:rPr>
      </w:pPr>
      <w:r w:rsidRPr="00A13537">
        <w:rPr>
          <w:rFonts w:ascii="Times New Roman" w:hAnsi="Times New Roman" w:cs="Times New Roman"/>
          <w:smallCaps/>
        </w:rPr>
        <w:t>Analytical Framework</w:t>
      </w:r>
    </w:p>
    <w:p w14:paraId="40AA291E" w14:textId="77777777" w:rsidR="009748C9" w:rsidRDefault="004B5DB8">
      <w:pPr>
        <w:rPr>
          <w:rFonts w:ascii="Times New Roman" w:hAnsi="Times New Roman" w:cs="Times New Roman"/>
        </w:rPr>
      </w:pPr>
      <w:r>
        <w:rPr>
          <w:rFonts w:ascii="Times New Roman" w:hAnsi="Times New Roman" w:cs="Times New Roman"/>
        </w:rPr>
        <w:t xml:space="preserve">Historical salvage data were analyzed via negative binomial regression. This family of regression models is used to analyze count data (i.e., salvage count). Negative binomial regression is </w:t>
      </w:r>
      <w:proofErr w:type="gramStart"/>
      <w:r>
        <w:rPr>
          <w:rFonts w:ascii="Times New Roman" w:hAnsi="Times New Roman" w:cs="Times New Roman"/>
        </w:rPr>
        <w:t>similar to</w:t>
      </w:r>
      <w:proofErr w:type="gramEnd"/>
      <w:r>
        <w:rPr>
          <w:rFonts w:ascii="Times New Roman" w:hAnsi="Times New Roman" w:cs="Times New Roman"/>
        </w:rPr>
        <w:t xml:space="preserve"> Poisson regression except that it requires estimation of a dispersion parameter rather than assuming the variance is equal to the mean. </w:t>
      </w:r>
      <w:r w:rsidR="009748C9">
        <w:rPr>
          <w:rFonts w:ascii="Times New Roman" w:hAnsi="Times New Roman" w:cs="Times New Roman"/>
        </w:rPr>
        <w:t>In doing so,</w:t>
      </w:r>
      <w:r>
        <w:rPr>
          <w:rFonts w:ascii="Times New Roman" w:hAnsi="Times New Roman" w:cs="Times New Roman"/>
        </w:rPr>
        <w:t xml:space="preserve"> </w:t>
      </w:r>
      <w:r w:rsidR="009748C9">
        <w:rPr>
          <w:rFonts w:ascii="Times New Roman" w:hAnsi="Times New Roman" w:cs="Times New Roman"/>
        </w:rPr>
        <w:t>n</w:t>
      </w:r>
      <w:r>
        <w:rPr>
          <w:rFonts w:ascii="Times New Roman" w:hAnsi="Times New Roman" w:cs="Times New Roman"/>
        </w:rPr>
        <w:t xml:space="preserve">egative </w:t>
      </w:r>
      <w:r w:rsidR="009748C9">
        <w:rPr>
          <w:rFonts w:ascii="Times New Roman" w:hAnsi="Times New Roman" w:cs="Times New Roman"/>
        </w:rPr>
        <w:t>b</w:t>
      </w:r>
      <w:r>
        <w:rPr>
          <w:rFonts w:ascii="Times New Roman" w:hAnsi="Times New Roman" w:cs="Times New Roman"/>
        </w:rPr>
        <w:t>inomial regression can account for overdispersion, which is common in ecological data</w:t>
      </w:r>
      <w:r w:rsidR="009748C9">
        <w:rPr>
          <w:rFonts w:ascii="Times New Roman" w:hAnsi="Times New Roman" w:cs="Times New Roman"/>
        </w:rPr>
        <w:t>, and reduce the likelihood of biased coefficient estimation</w:t>
      </w:r>
      <w:r>
        <w:rPr>
          <w:rFonts w:ascii="Times New Roman" w:hAnsi="Times New Roman" w:cs="Times New Roman"/>
        </w:rPr>
        <w:t>.</w:t>
      </w:r>
      <w:r w:rsidR="00A03CFE">
        <w:rPr>
          <w:rFonts w:ascii="Times New Roman" w:hAnsi="Times New Roman" w:cs="Times New Roman"/>
        </w:rPr>
        <w:t xml:space="preserve"> </w:t>
      </w:r>
      <w:r w:rsidR="00D462F4">
        <w:rPr>
          <w:rFonts w:ascii="Times New Roman" w:hAnsi="Times New Roman" w:cs="Times New Roman"/>
        </w:rPr>
        <w:t>Data for continuous p</w:t>
      </w:r>
      <w:r w:rsidR="00A03CFE">
        <w:rPr>
          <w:rFonts w:ascii="Times New Roman" w:hAnsi="Times New Roman" w:cs="Times New Roman"/>
        </w:rPr>
        <w:t xml:space="preserve">redictor variables were centered and scaled </w:t>
      </w:r>
      <w:r w:rsidR="00D462F4">
        <w:rPr>
          <w:rFonts w:ascii="Times New Roman" w:hAnsi="Times New Roman" w:cs="Times New Roman"/>
        </w:rPr>
        <w:t>(i.e., standard score or z-values</w:t>
      </w:r>
      <w:r w:rsidR="00A03CFE">
        <w:rPr>
          <w:rFonts w:ascii="Times New Roman" w:hAnsi="Times New Roman" w:cs="Times New Roman"/>
        </w:rPr>
        <w:t>) to facilitate model convergence.</w:t>
      </w:r>
    </w:p>
    <w:p w14:paraId="5AF841A2" w14:textId="77777777" w:rsidR="009E1DC5" w:rsidRDefault="009748C9">
      <w:pPr>
        <w:rPr>
          <w:rFonts w:ascii="Times New Roman" w:hAnsi="Times New Roman" w:cs="Times New Roman"/>
        </w:rPr>
      </w:pPr>
      <w:r>
        <w:rPr>
          <w:rFonts w:ascii="Times New Roman" w:hAnsi="Times New Roman" w:cs="Times New Roman"/>
        </w:rPr>
        <w:t xml:space="preserve">A candidate set of models were developed ranging from a null model (i.e., intercept only model) to a full model that included all factors noted above </w:t>
      </w:r>
      <w:r w:rsidR="005A0407">
        <w:rPr>
          <w:rFonts w:ascii="Times New Roman" w:hAnsi="Times New Roman" w:cs="Times New Roman"/>
        </w:rPr>
        <w:t>and</w:t>
      </w:r>
      <w:r>
        <w:rPr>
          <w:rFonts w:ascii="Times New Roman" w:hAnsi="Times New Roman" w:cs="Times New Roman"/>
        </w:rPr>
        <w:t xml:space="preserve"> </w:t>
      </w:r>
      <w:r w:rsidR="000A4B29">
        <w:rPr>
          <w:rFonts w:ascii="Times New Roman" w:hAnsi="Times New Roman" w:cs="Times New Roman"/>
        </w:rPr>
        <w:t>o</w:t>
      </w:r>
      <w:r w:rsidR="005A0407">
        <w:rPr>
          <w:rFonts w:ascii="Times New Roman" w:hAnsi="Times New Roman" w:cs="Times New Roman"/>
        </w:rPr>
        <w:t>ne,</w:t>
      </w:r>
      <w:r>
        <w:rPr>
          <w:rFonts w:ascii="Times New Roman" w:hAnsi="Times New Roman" w:cs="Times New Roman"/>
        </w:rPr>
        <w:t xml:space="preserve"> two-way interaction. All models were compared via Akaike Information Criterion corrected for small sample size (i.e., </w:t>
      </w:r>
      <w:proofErr w:type="spellStart"/>
      <w:r>
        <w:rPr>
          <w:rFonts w:ascii="Times New Roman" w:hAnsi="Times New Roman" w:cs="Times New Roman"/>
        </w:rPr>
        <w:t>AICc</w:t>
      </w:r>
      <w:proofErr w:type="spellEnd"/>
      <w:r>
        <w:rPr>
          <w:rFonts w:ascii="Times New Roman" w:hAnsi="Times New Roman" w:cs="Times New Roman"/>
        </w:rPr>
        <w:t xml:space="preserve">). The goal of applying this model selection criterion was to identify the most parsimonious model (i.e., lowest </w:t>
      </w:r>
      <w:proofErr w:type="spellStart"/>
      <w:r>
        <w:rPr>
          <w:rFonts w:ascii="Times New Roman" w:hAnsi="Times New Roman" w:cs="Times New Roman"/>
        </w:rPr>
        <w:t>AICc</w:t>
      </w:r>
      <w:proofErr w:type="spellEnd"/>
      <w:r>
        <w:rPr>
          <w:rFonts w:ascii="Times New Roman" w:hAnsi="Times New Roman" w:cs="Times New Roman"/>
        </w:rPr>
        <w:t xml:space="preserve"> score) that best balance</w:t>
      </w:r>
      <w:r w:rsidR="00D462F4">
        <w:rPr>
          <w:rFonts w:ascii="Times New Roman" w:hAnsi="Times New Roman" w:cs="Times New Roman"/>
        </w:rPr>
        <w:t>d</w:t>
      </w:r>
      <w:r>
        <w:rPr>
          <w:rFonts w:ascii="Times New Roman" w:hAnsi="Times New Roman" w:cs="Times New Roman"/>
        </w:rPr>
        <w:t xml:space="preserve"> the model’s complexity and fit to the data. Within this framework a difference of </w:t>
      </w:r>
      <w:r w:rsidR="00AD74A0">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AICc</w:t>
      </w:r>
      <w:proofErr w:type="spellEnd"/>
      <w:r>
        <w:rPr>
          <w:rFonts w:ascii="Times New Roman" w:hAnsi="Times New Roman" w:cs="Times New Roman"/>
        </w:rPr>
        <w:t xml:space="preserve"> units is evidence of model </w:t>
      </w:r>
      <w:r w:rsidR="002D5239">
        <w:rPr>
          <w:rFonts w:ascii="Times New Roman" w:hAnsi="Times New Roman" w:cs="Times New Roman"/>
        </w:rPr>
        <w:t>superiority</w:t>
      </w:r>
      <w:r w:rsidR="00AD74A0">
        <w:rPr>
          <w:rFonts w:ascii="Times New Roman" w:hAnsi="Times New Roman" w:cs="Times New Roman"/>
        </w:rPr>
        <w:t xml:space="preserve"> (Akaike 1974, Burnham and Anderson 2002)</w:t>
      </w:r>
      <w:r>
        <w:rPr>
          <w:rFonts w:ascii="Times New Roman" w:hAnsi="Times New Roman" w:cs="Times New Roman"/>
        </w:rPr>
        <w:t>.</w:t>
      </w:r>
      <w:r w:rsidR="004B5DB8">
        <w:rPr>
          <w:rFonts w:ascii="Times New Roman" w:hAnsi="Times New Roman" w:cs="Times New Roman"/>
        </w:rPr>
        <w:t xml:space="preserve"> </w:t>
      </w:r>
    </w:p>
    <w:p w14:paraId="00FAC69C" w14:textId="77777777" w:rsidR="002D5239" w:rsidRPr="00A13537" w:rsidRDefault="002D5239">
      <w:pPr>
        <w:rPr>
          <w:rFonts w:ascii="Times New Roman" w:hAnsi="Times New Roman" w:cs="Times New Roman"/>
          <w:smallCaps/>
        </w:rPr>
      </w:pPr>
      <w:r w:rsidRPr="00A13537">
        <w:rPr>
          <w:rFonts w:ascii="Times New Roman" w:hAnsi="Times New Roman" w:cs="Times New Roman"/>
          <w:smallCaps/>
        </w:rPr>
        <w:t>Cross Validation</w:t>
      </w:r>
    </w:p>
    <w:p w14:paraId="2FA21196" w14:textId="77777777" w:rsidR="00543B6E" w:rsidRDefault="002D5239">
      <w:pPr>
        <w:rPr>
          <w:rFonts w:ascii="Times New Roman" w:hAnsi="Times New Roman" w:cs="Times New Roman"/>
        </w:rPr>
      </w:pPr>
      <w:r>
        <w:rPr>
          <w:rFonts w:ascii="Times New Roman" w:hAnsi="Times New Roman" w:cs="Times New Roman"/>
        </w:rPr>
        <w:t xml:space="preserve">Leave-one-out cross validation (LOOCV) was applied to the top supported model </w:t>
      </w:r>
      <w:r w:rsidR="005A0407">
        <w:rPr>
          <w:rFonts w:ascii="Times New Roman" w:hAnsi="Times New Roman" w:cs="Times New Roman"/>
        </w:rPr>
        <w:t>to</w:t>
      </w:r>
      <w:r>
        <w:rPr>
          <w:rFonts w:ascii="Times New Roman" w:hAnsi="Times New Roman" w:cs="Times New Roman"/>
        </w:rPr>
        <w:t xml:space="preserve"> </w:t>
      </w:r>
      <w:r w:rsidR="005A0407">
        <w:rPr>
          <w:rFonts w:ascii="Times New Roman" w:hAnsi="Times New Roman" w:cs="Times New Roman"/>
        </w:rPr>
        <w:t xml:space="preserve">provide a </w:t>
      </w:r>
      <w:r>
        <w:rPr>
          <w:rFonts w:ascii="Times New Roman" w:hAnsi="Times New Roman" w:cs="Times New Roman"/>
        </w:rPr>
        <w:t xml:space="preserve">measure model </w:t>
      </w:r>
      <w:r w:rsidR="005A0407">
        <w:rPr>
          <w:rFonts w:ascii="Times New Roman" w:hAnsi="Times New Roman" w:cs="Times New Roman"/>
        </w:rPr>
        <w:t xml:space="preserve">predictive </w:t>
      </w:r>
      <w:r>
        <w:rPr>
          <w:rFonts w:ascii="Times New Roman" w:hAnsi="Times New Roman" w:cs="Times New Roman"/>
        </w:rPr>
        <w:t xml:space="preserve">performance. </w:t>
      </w:r>
      <w:r w:rsidR="00543B6E">
        <w:rPr>
          <w:rFonts w:ascii="Times New Roman" w:hAnsi="Times New Roman" w:cs="Times New Roman"/>
        </w:rPr>
        <w:t xml:space="preserve">LOOCV involves removal of a single record from the dataset, refitting the top model to the remaining data, estimating the </w:t>
      </w:r>
      <w:r w:rsidR="005A0407">
        <w:rPr>
          <w:rFonts w:ascii="Times New Roman" w:hAnsi="Times New Roman" w:cs="Times New Roman"/>
        </w:rPr>
        <w:t xml:space="preserve">expected salvage count </w:t>
      </w:r>
      <w:r w:rsidR="00D462F4">
        <w:rPr>
          <w:rFonts w:ascii="Times New Roman" w:hAnsi="Times New Roman" w:cs="Times New Roman"/>
        </w:rPr>
        <w:t>for the ‘out-of-sample’ data</w:t>
      </w:r>
      <w:r w:rsidR="00543B6E">
        <w:rPr>
          <w:rFonts w:ascii="Times New Roman" w:hAnsi="Times New Roman" w:cs="Times New Roman"/>
        </w:rPr>
        <w:t>, and comparing the predicted vs. observed salvage count. This process is repeated for all records in the dataset. Linear regression is used to compare the relationship between observed and predicted salvage counts</w:t>
      </w:r>
      <w:r w:rsidR="00D462F4">
        <w:rPr>
          <w:rFonts w:ascii="Times New Roman" w:hAnsi="Times New Roman" w:cs="Times New Roman"/>
        </w:rPr>
        <w:t xml:space="preserve"> and the resulting </w:t>
      </w:r>
      <w:r w:rsidR="00BF5434">
        <w:rPr>
          <w:rFonts w:ascii="Times New Roman" w:hAnsi="Times New Roman" w:cs="Times New Roman"/>
        </w:rPr>
        <w:t>R</w:t>
      </w:r>
      <w:r w:rsidR="00BF5434" w:rsidRPr="00BF5434">
        <w:rPr>
          <w:rFonts w:ascii="Times New Roman" w:hAnsi="Times New Roman" w:cs="Times New Roman"/>
          <w:vertAlign w:val="superscript"/>
        </w:rPr>
        <w:t>2</w:t>
      </w:r>
      <w:r w:rsidR="00BF5434">
        <w:rPr>
          <w:rFonts w:ascii="Times New Roman" w:hAnsi="Times New Roman" w:cs="Times New Roman"/>
        </w:rPr>
        <w:t xml:space="preserve"> from this regression is </w:t>
      </w:r>
      <w:r w:rsidR="00D462F4">
        <w:rPr>
          <w:rFonts w:ascii="Times New Roman" w:hAnsi="Times New Roman" w:cs="Times New Roman"/>
        </w:rPr>
        <w:t>a measure agreement</w:t>
      </w:r>
      <w:r w:rsidR="00BF5434">
        <w:rPr>
          <w:rFonts w:ascii="Times New Roman" w:hAnsi="Times New Roman" w:cs="Times New Roman"/>
        </w:rPr>
        <w:t xml:space="preserve"> between observed and predicted observations</w:t>
      </w:r>
      <w:r w:rsidR="00543B6E">
        <w:rPr>
          <w:rFonts w:ascii="Times New Roman" w:hAnsi="Times New Roman" w:cs="Times New Roman"/>
        </w:rPr>
        <w:t xml:space="preserve">. </w:t>
      </w:r>
    </w:p>
    <w:p w14:paraId="778962D5" w14:textId="77777777" w:rsidR="004B5DB8" w:rsidRPr="00A13537" w:rsidRDefault="002E0A98">
      <w:pPr>
        <w:rPr>
          <w:rFonts w:ascii="Times New Roman" w:hAnsi="Times New Roman" w:cs="Times New Roman"/>
          <w:smallCaps/>
        </w:rPr>
      </w:pPr>
      <w:r w:rsidRPr="00A13537">
        <w:rPr>
          <w:rFonts w:ascii="Times New Roman" w:hAnsi="Times New Roman" w:cs="Times New Roman"/>
          <w:smallCaps/>
        </w:rPr>
        <w:t>Data</w:t>
      </w:r>
      <w:r w:rsidR="00543B6E" w:rsidRPr="00A13537">
        <w:rPr>
          <w:rFonts w:ascii="Times New Roman" w:hAnsi="Times New Roman" w:cs="Times New Roman"/>
          <w:smallCaps/>
        </w:rPr>
        <w:t xml:space="preserve"> Availability</w:t>
      </w:r>
    </w:p>
    <w:p w14:paraId="6CA18BAF" w14:textId="77777777" w:rsidR="00BF5434" w:rsidRDefault="00543B6E">
      <w:pPr>
        <w:rPr>
          <w:rFonts w:ascii="Times New Roman" w:hAnsi="Times New Roman" w:cs="Times New Roman"/>
        </w:rPr>
      </w:pPr>
      <w:r>
        <w:rPr>
          <w:rFonts w:ascii="Times New Roman" w:hAnsi="Times New Roman" w:cs="Times New Roman"/>
        </w:rPr>
        <w:t xml:space="preserve">We used monthly </w:t>
      </w:r>
      <w:r w:rsidR="00B14BAB">
        <w:rPr>
          <w:rFonts w:ascii="Times New Roman" w:hAnsi="Times New Roman" w:cs="Times New Roman"/>
        </w:rPr>
        <w:t xml:space="preserve">total </w:t>
      </w:r>
      <w:r>
        <w:rPr>
          <w:rFonts w:ascii="Times New Roman" w:hAnsi="Times New Roman" w:cs="Times New Roman"/>
        </w:rPr>
        <w:t>salvage records of Winter Run salmon collected between 1993 and 2013 (Figure 1). Overdispersion was apparent during initial inspection of these data (mean ≠ variance) supporting the use of negative binomial regression in this analysis. Less than 2% of the records from this dataset included counts of 0 salvage, and thus there was no need to explore the use of zero-inflated regression models.</w:t>
      </w:r>
    </w:p>
    <w:p w14:paraId="0C78BC60" w14:textId="77777777" w:rsidR="00543B6E" w:rsidRDefault="00543B6E">
      <w:pPr>
        <w:rPr>
          <w:rFonts w:ascii="Times New Roman" w:hAnsi="Times New Roman" w:cs="Times New Roman"/>
        </w:rPr>
      </w:pPr>
    </w:p>
    <w:p w14:paraId="0EDF75D6" w14:textId="77777777" w:rsidR="00543B6E" w:rsidRDefault="00543B6E">
      <w:pPr>
        <w:rPr>
          <w:rFonts w:ascii="Times New Roman" w:hAnsi="Times New Roman" w:cs="Times New Roman"/>
        </w:rPr>
      </w:pPr>
      <w:r>
        <w:rPr>
          <w:noProof/>
        </w:rPr>
        <w:lastRenderedPageBreak/>
        <w:drawing>
          <wp:inline distT="0" distB="0" distL="0" distR="0" wp14:anchorId="346A4EF6" wp14:editId="6D6404BD">
            <wp:extent cx="41148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14:paraId="2DB846BE" w14:textId="77777777" w:rsidR="00543B6E" w:rsidRDefault="00543B6E">
      <w:pPr>
        <w:rPr>
          <w:rFonts w:ascii="Times New Roman" w:hAnsi="Times New Roman" w:cs="Times New Roman"/>
        </w:rPr>
      </w:pPr>
      <w:r>
        <w:rPr>
          <w:rFonts w:ascii="Times New Roman" w:hAnsi="Times New Roman" w:cs="Times New Roman"/>
        </w:rPr>
        <w:t xml:space="preserve">Figure 1. Frequency distribution of Winter Run salvage between 1993 and 2013. </w:t>
      </w:r>
    </w:p>
    <w:p w14:paraId="117EC31D" w14:textId="77777777" w:rsidR="00A13537" w:rsidRDefault="00A13537" w:rsidP="00A13537">
      <w:pPr>
        <w:rPr>
          <w:rFonts w:ascii="Times New Roman" w:hAnsi="Times New Roman" w:cs="Times New Roman"/>
        </w:rPr>
      </w:pPr>
      <w:r>
        <w:rPr>
          <w:rFonts w:ascii="Times New Roman" w:hAnsi="Times New Roman" w:cs="Times New Roman"/>
        </w:rPr>
        <w:t xml:space="preserve">Estimates of monthly average exports and OMR were included in the analysis to estimate hydrodynamic effects of SWP and CVP operations on salvage count. Monthly exports from SWP and CVP was measured as the sum of the average monthly export from SWP and CVP facilities. OMR was calculated as the monthly average OMR flow. </w:t>
      </w:r>
    </w:p>
    <w:p w14:paraId="470FEC14" w14:textId="77777777" w:rsidR="00A13537" w:rsidRDefault="00A13537" w:rsidP="00A13537">
      <w:pPr>
        <w:rPr>
          <w:rFonts w:ascii="Times New Roman" w:hAnsi="Times New Roman" w:cs="Times New Roman"/>
        </w:rPr>
      </w:pPr>
      <w:r>
        <w:rPr>
          <w:rFonts w:ascii="Times New Roman" w:hAnsi="Times New Roman" w:cs="Times New Roman"/>
        </w:rPr>
        <w:t xml:space="preserve">Winter-Run salmon escapement from the previous year was included in the analysis to account for differences in salvage count emerging from differences in juvenile fish production. Here it is assumed that the number of juvenile </w:t>
      </w:r>
      <w:proofErr w:type="gramStart"/>
      <w:r>
        <w:rPr>
          <w:rFonts w:ascii="Times New Roman" w:hAnsi="Times New Roman" w:cs="Times New Roman"/>
        </w:rPr>
        <w:t>salmon</w:t>
      </w:r>
      <w:proofErr w:type="gramEnd"/>
      <w:r>
        <w:rPr>
          <w:rFonts w:ascii="Times New Roman" w:hAnsi="Times New Roman" w:cs="Times New Roman"/>
        </w:rPr>
        <w:t xml:space="preserve"> outmigrating from the Sacramento River scales positively with the number of spawning adults in the wild and hatchery (i.e., total escapement). Data on spawning adults were obtained from the </w:t>
      </w:r>
      <w:proofErr w:type="spellStart"/>
      <w:r>
        <w:rPr>
          <w:rFonts w:ascii="Times New Roman" w:hAnsi="Times New Roman" w:cs="Times New Roman"/>
        </w:rPr>
        <w:t>Gra</w:t>
      </w:r>
      <w:r w:rsidR="00D462F4">
        <w:rPr>
          <w:rFonts w:ascii="Times New Roman" w:hAnsi="Times New Roman" w:cs="Times New Roman"/>
        </w:rPr>
        <w:t>n</w:t>
      </w:r>
      <w:r>
        <w:rPr>
          <w:rFonts w:ascii="Times New Roman" w:hAnsi="Times New Roman" w:cs="Times New Roman"/>
        </w:rPr>
        <w:t>dTab</w:t>
      </w:r>
      <w:proofErr w:type="spellEnd"/>
      <w:r>
        <w:rPr>
          <w:rFonts w:ascii="Times New Roman" w:hAnsi="Times New Roman" w:cs="Times New Roman"/>
        </w:rPr>
        <w:t xml:space="preserve"> database (</w:t>
      </w:r>
      <w:r w:rsidRPr="00A061FA">
        <w:rPr>
          <w:rFonts w:ascii="Times New Roman" w:hAnsi="Times New Roman" w:cs="Times New Roman"/>
        </w:rPr>
        <w:t>https://www.wildlife.ca.gov/Conservation/Fishes/Chinook-Salmon/Anadromous-Assessment</w:t>
      </w:r>
      <w:r>
        <w:rPr>
          <w:rFonts w:ascii="Times New Roman" w:hAnsi="Times New Roman" w:cs="Times New Roman"/>
        </w:rPr>
        <w:t xml:space="preserve">). </w:t>
      </w:r>
    </w:p>
    <w:p w14:paraId="48E08C1D" w14:textId="77777777" w:rsidR="004C555C" w:rsidRDefault="00A13537" w:rsidP="00A13537">
      <w:pPr>
        <w:rPr>
          <w:rFonts w:ascii="Times New Roman" w:hAnsi="Times New Roman" w:cs="Times New Roman"/>
        </w:rPr>
      </w:pPr>
      <w:r>
        <w:rPr>
          <w:rFonts w:ascii="Times New Roman" w:hAnsi="Times New Roman" w:cs="Times New Roman"/>
        </w:rPr>
        <w:t>Measures of monthly average Sacramento River discharge (</w:t>
      </w:r>
      <w:proofErr w:type="spellStart"/>
      <w:r>
        <w:rPr>
          <w:rFonts w:ascii="Times New Roman" w:hAnsi="Times New Roman" w:cs="Times New Roman"/>
        </w:rPr>
        <w:t>cfs</w:t>
      </w:r>
      <w:proofErr w:type="spellEnd"/>
      <w:r>
        <w:rPr>
          <w:rFonts w:ascii="Times New Roman" w:hAnsi="Times New Roman" w:cs="Times New Roman"/>
        </w:rPr>
        <w:t>) were also included in the model to account for upstream flow effects on salvage count. Here it is assumed that the volume of water flowing from the Sacramento effects routing and therefore impacts the likelihood juvenile salmon will end up at the pumping facilities and salvage. Data from historical Sacramento River discharge were taken from the USGC gauging station 11425500 at Verona (</w:t>
      </w:r>
      <w:hyperlink r:id="rId8" w:history="1">
        <w:r w:rsidRPr="00D30846">
          <w:rPr>
            <w:rStyle w:val="Hyperlink"/>
            <w:rFonts w:ascii="Times New Roman" w:hAnsi="Times New Roman" w:cs="Times New Roman"/>
          </w:rPr>
          <w:t>https://waterdata.usgs.gov/usa/nwis/uv?site_no=11425500</w:t>
        </w:r>
      </w:hyperlink>
      <w:r>
        <w:rPr>
          <w:rFonts w:ascii="Times New Roman" w:hAnsi="Times New Roman" w:cs="Times New Roman"/>
        </w:rPr>
        <w:t>).</w:t>
      </w:r>
    </w:p>
    <w:p w14:paraId="696C0DFF" w14:textId="77777777" w:rsidR="00A13537" w:rsidRPr="00A13537" w:rsidRDefault="00A13537" w:rsidP="00A13537">
      <w:pPr>
        <w:rPr>
          <w:rFonts w:ascii="Times New Roman" w:hAnsi="Times New Roman" w:cs="Times New Roman"/>
          <w:smallCaps/>
        </w:rPr>
      </w:pPr>
      <w:r w:rsidRPr="00A13537">
        <w:rPr>
          <w:rFonts w:ascii="Times New Roman" w:hAnsi="Times New Roman" w:cs="Times New Roman"/>
          <w:smallCaps/>
        </w:rPr>
        <w:t>Results</w:t>
      </w:r>
    </w:p>
    <w:p w14:paraId="7161EB31" w14:textId="77777777" w:rsidR="00A13537" w:rsidRDefault="00AD74A0" w:rsidP="00A13537">
      <w:pPr>
        <w:rPr>
          <w:rFonts w:ascii="Times New Roman" w:hAnsi="Times New Roman" w:cs="Times New Roman"/>
        </w:rPr>
      </w:pPr>
      <w:r>
        <w:rPr>
          <w:rFonts w:ascii="Times New Roman" w:hAnsi="Times New Roman" w:cs="Times New Roman"/>
        </w:rPr>
        <w:t xml:space="preserve">A total of 111 candidate models were constructed from different combinations of the factors described above and one possible two-way interaction. From this candidate set 103 models converged on a stable solution. There were four models that received similar quantitative support (i.e., </w:t>
      </w:r>
      <w:proofErr w:type="spellStart"/>
      <w:r w:rsidRPr="00AD74A0">
        <w:rPr>
          <w:rFonts w:ascii="Times New Roman" w:hAnsi="Times New Roman" w:cs="Times New Roman"/>
        </w:rPr>
        <w:t>ΔAICc</w:t>
      </w:r>
      <w:proofErr w:type="spellEnd"/>
      <w:r w:rsidRPr="00AD74A0">
        <w:rPr>
          <w:rFonts w:ascii="Times New Roman" w:hAnsi="Times New Roman" w:cs="Times New Roman"/>
        </w:rPr>
        <w:t xml:space="preserve"> </w:t>
      </w:r>
      <w:r>
        <w:rPr>
          <w:rFonts w:ascii="Times New Roman" w:hAnsi="Times New Roman" w:cs="Times New Roman"/>
        </w:rPr>
        <w:t>&lt; 4 units)</w:t>
      </w:r>
      <w:r w:rsidR="00391449">
        <w:rPr>
          <w:rFonts w:ascii="Times New Roman" w:hAnsi="Times New Roman" w:cs="Times New Roman"/>
        </w:rPr>
        <w:t>. The top supported model was the most parsimonious and included factors for Month, OMR, Exports and an interaction between Month and OMR (Table 1). The top-ranked model was substantially more supported than the null model (</w:t>
      </w:r>
      <w:proofErr w:type="spellStart"/>
      <w:r w:rsidR="00391449" w:rsidRPr="00AD74A0">
        <w:rPr>
          <w:rFonts w:ascii="Times New Roman" w:hAnsi="Times New Roman" w:cs="Times New Roman"/>
        </w:rPr>
        <w:t>ΔAICc</w:t>
      </w:r>
      <w:proofErr w:type="spellEnd"/>
      <w:r w:rsidR="00391449" w:rsidRPr="00AD74A0">
        <w:rPr>
          <w:rFonts w:ascii="Times New Roman" w:hAnsi="Times New Roman" w:cs="Times New Roman"/>
        </w:rPr>
        <w:t xml:space="preserve"> </w:t>
      </w:r>
      <w:r w:rsidR="00391449">
        <w:rPr>
          <w:rFonts w:ascii="Times New Roman" w:hAnsi="Times New Roman" w:cs="Times New Roman"/>
        </w:rPr>
        <w:t>= 76.5) and had a c</w:t>
      </w:r>
      <w:r w:rsidR="00080ADA" w:rsidRPr="00080ADA">
        <w:rPr>
          <w:rFonts w:ascii="Times New Roman" w:hAnsi="Times New Roman" w:cs="Times New Roman"/>
        </w:rPr>
        <w:t>orrected likelihood-ratio-based R</w:t>
      </w:r>
      <w:r w:rsidR="00080ADA" w:rsidRPr="00080ADA">
        <w:rPr>
          <w:rFonts w:ascii="Times New Roman" w:hAnsi="Times New Roman" w:cs="Times New Roman"/>
          <w:vertAlign w:val="superscript"/>
        </w:rPr>
        <w:t>2</w:t>
      </w:r>
      <w:r w:rsidR="00080ADA" w:rsidRPr="00080ADA">
        <w:rPr>
          <w:rFonts w:ascii="Times New Roman" w:hAnsi="Times New Roman" w:cs="Times New Roman"/>
        </w:rPr>
        <w:t xml:space="preserve"> for generalized linear models</w:t>
      </w:r>
      <w:r w:rsidR="00080ADA">
        <w:rPr>
          <w:rFonts w:ascii="Times New Roman" w:hAnsi="Times New Roman" w:cs="Times New Roman"/>
        </w:rPr>
        <w:t xml:space="preserve"> </w:t>
      </w:r>
      <w:r w:rsidR="00391449">
        <w:rPr>
          <w:rFonts w:ascii="Times New Roman" w:hAnsi="Times New Roman" w:cs="Times New Roman"/>
        </w:rPr>
        <w:t>of</w:t>
      </w:r>
      <w:r w:rsidR="00080ADA">
        <w:rPr>
          <w:rFonts w:ascii="Times New Roman" w:hAnsi="Times New Roman" w:cs="Times New Roman"/>
        </w:rPr>
        <w:t xml:space="preserve"> 0.62.</w:t>
      </w:r>
      <w:r w:rsidR="00391449">
        <w:rPr>
          <w:rFonts w:ascii="Times New Roman" w:hAnsi="Times New Roman" w:cs="Times New Roman"/>
        </w:rPr>
        <w:t xml:space="preserve"> Collectively these results suggest the top-ranked model reasonably fit the observed data.</w:t>
      </w:r>
    </w:p>
    <w:p w14:paraId="5488A4CB" w14:textId="77777777" w:rsidR="00A13537" w:rsidRDefault="00A13537" w:rsidP="00A13537">
      <w:pPr>
        <w:rPr>
          <w:rFonts w:ascii="Times New Roman" w:hAnsi="Times New Roman" w:cs="Times New Roman"/>
        </w:rPr>
      </w:pPr>
    </w:p>
    <w:p w14:paraId="1926F277" w14:textId="77777777" w:rsidR="00A13537" w:rsidRDefault="00A13537" w:rsidP="00A13537">
      <w:pPr>
        <w:rPr>
          <w:rFonts w:ascii="Times New Roman" w:hAnsi="Times New Roman" w:cs="Times New Roman"/>
        </w:rPr>
      </w:pPr>
    </w:p>
    <w:p w14:paraId="0630763B" w14:textId="77777777" w:rsidR="009E1DC5" w:rsidRDefault="009E1DC5" w:rsidP="009E1DC5">
      <w:pPr>
        <w:rPr>
          <w:rFonts w:ascii="Times New Roman" w:hAnsi="Times New Roman" w:cs="Times New Roman"/>
        </w:rPr>
      </w:pPr>
      <w:r>
        <w:rPr>
          <w:rFonts w:ascii="Times New Roman" w:hAnsi="Times New Roman" w:cs="Times New Roman"/>
        </w:rPr>
        <w:t xml:space="preserve">Table 1: Top-ranked negative binomial regression models from the candidate set based on lowest </w:t>
      </w:r>
      <w:proofErr w:type="spellStart"/>
      <w:r>
        <w:rPr>
          <w:rFonts w:ascii="Times New Roman" w:hAnsi="Times New Roman" w:cs="Times New Roman"/>
        </w:rPr>
        <w:t>AICc</w:t>
      </w:r>
      <w:proofErr w:type="spellEnd"/>
      <w:r>
        <w:rPr>
          <w:rFonts w:ascii="Times New Roman" w:hAnsi="Times New Roman" w:cs="Times New Roman"/>
        </w:rPr>
        <w:t xml:space="preserve"> score. All other models were &gt;10 </w:t>
      </w:r>
      <w:proofErr w:type="spellStart"/>
      <w:r>
        <w:rPr>
          <w:rFonts w:ascii="Times New Roman" w:hAnsi="Times New Roman" w:cs="Times New Roman"/>
        </w:rPr>
        <w:t>AICc</w:t>
      </w:r>
      <w:proofErr w:type="spellEnd"/>
      <w:r>
        <w:rPr>
          <w:rFonts w:ascii="Times New Roman" w:hAnsi="Times New Roman" w:cs="Times New Roman"/>
        </w:rPr>
        <w:t xml:space="preserve"> units from the most supported model. Predictor variables included in the candidate models were OMR, Exports, Month, Escapement, and Sacramento River Discharge (SRD). The addition of fixed factors </w:t>
      </w:r>
      <w:proofErr w:type="gramStart"/>
      <w:r>
        <w:rPr>
          <w:rFonts w:ascii="Times New Roman" w:hAnsi="Times New Roman" w:cs="Times New Roman"/>
        </w:rPr>
        <w:t>are</w:t>
      </w:r>
      <w:proofErr w:type="gramEnd"/>
      <w:r>
        <w:rPr>
          <w:rFonts w:ascii="Times New Roman" w:hAnsi="Times New Roman" w:cs="Times New Roman"/>
        </w:rPr>
        <w:t xml:space="preserve"> noted by “+” and an interaction between terms is noted with “:”.</w:t>
      </w:r>
    </w:p>
    <w:tbl>
      <w:tblPr>
        <w:tblStyle w:val="TableGrid"/>
        <w:tblW w:w="0" w:type="auto"/>
        <w:tblLook w:val="04A0" w:firstRow="1" w:lastRow="0" w:firstColumn="1" w:lastColumn="0" w:noHBand="0" w:noVBand="1"/>
      </w:tblPr>
      <w:tblGrid>
        <w:gridCol w:w="1260"/>
        <w:gridCol w:w="1170"/>
        <w:gridCol w:w="5670"/>
      </w:tblGrid>
      <w:tr w:rsidR="009E1DC5" w14:paraId="0CB051D0" w14:textId="77777777" w:rsidTr="005C5F65">
        <w:tc>
          <w:tcPr>
            <w:tcW w:w="1260" w:type="dxa"/>
            <w:tcBorders>
              <w:top w:val="single" w:sz="8" w:space="0" w:color="auto"/>
              <w:left w:val="nil"/>
              <w:bottom w:val="single" w:sz="8" w:space="0" w:color="auto"/>
              <w:right w:val="nil"/>
            </w:tcBorders>
          </w:tcPr>
          <w:p w14:paraId="0C34755A" w14:textId="77777777" w:rsidR="009E1DC5" w:rsidRPr="00907680" w:rsidRDefault="009E1DC5" w:rsidP="005C5F65">
            <w:pPr>
              <w:rPr>
                <w:rFonts w:ascii="Times New Roman" w:hAnsi="Times New Roman" w:cs="Times New Roman"/>
                <w:sz w:val="20"/>
              </w:rPr>
            </w:pPr>
            <w:r w:rsidRPr="00907680">
              <w:rPr>
                <w:rFonts w:ascii="Times New Roman" w:hAnsi="Times New Roman" w:cs="Times New Roman"/>
                <w:sz w:val="20"/>
              </w:rPr>
              <w:t xml:space="preserve">Model </w:t>
            </w:r>
            <w:r>
              <w:rPr>
                <w:rFonts w:ascii="Times New Roman" w:hAnsi="Times New Roman" w:cs="Times New Roman"/>
                <w:sz w:val="20"/>
              </w:rPr>
              <w:t>Rank</w:t>
            </w:r>
          </w:p>
        </w:tc>
        <w:tc>
          <w:tcPr>
            <w:tcW w:w="1170" w:type="dxa"/>
            <w:tcBorders>
              <w:top w:val="single" w:sz="8" w:space="0" w:color="auto"/>
              <w:left w:val="nil"/>
              <w:bottom w:val="single" w:sz="8" w:space="0" w:color="auto"/>
              <w:right w:val="nil"/>
            </w:tcBorders>
          </w:tcPr>
          <w:p w14:paraId="5386AED9" w14:textId="77777777" w:rsidR="009E1DC5" w:rsidRDefault="009E1DC5" w:rsidP="005C5F65">
            <w:pPr>
              <w:jc w:val="center"/>
              <w:rPr>
                <w:rFonts w:ascii="Times New Roman" w:hAnsi="Times New Roman" w:cs="Times New Roman"/>
                <w:sz w:val="20"/>
              </w:rPr>
            </w:pPr>
            <w:proofErr w:type="spellStart"/>
            <w:r>
              <w:rPr>
                <w:rFonts w:ascii="Times New Roman" w:hAnsi="Times New Roman" w:cs="Times New Roman"/>
                <w:sz w:val="20"/>
              </w:rPr>
              <w:t>ΔAICc</w:t>
            </w:r>
            <w:proofErr w:type="spellEnd"/>
          </w:p>
        </w:tc>
        <w:tc>
          <w:tcPr>
            <w:tcW w:w="5670" w:type="dxa"/>
            <w:tcBorders>
              <w:top w:val="single" w:sz="8" w:space="0" w:color="auto"/>
              <w:left w:val="nil"/>
              <w:bottom w:val="single" w:sz="8" w:space="0" w:color="auto"/>
              <w:right w:val="nil"/>
            </w:tcBorders>
          </w:tcPr>
          <w:p w14:paraId="70EE9AAA"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Model Parameters</w:t>
            </w:r>
          </w:p>
        </w:tc>
      </w:tr>
      <w:tr w:rsidR="009E1DC5" w14:paraId="7EDF7128" w14:textId="77777777" w:rsidTr="005C5F65">
        <w:tc>
          <w:tcPr>
            <w:tcW w:w="1260" w:type="dxa"/>
            <w:tcBorders>
              <w:top w:val="single" w:sz="8" w:space="0" w:color="auto"/>
              <w:left w:val="nil"/>
              <w:bottom w:val="nil"/>
              <w:right w:val="nil"/>
            </w:tcBorders>
          </w:tcPr>
          <w:p w14:paraId="633F5B52"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1</w:t>
            </w:r>
          </w:p>
        </w:tc>
        <w:tc>
          <w:tcPr>
            <w:tcW w:w="1170" w:type="dxa"/>
            <w:tcBorders>
              <w:top w:val="single" w:sz="8" w:space="0" w:color="auto"/>
              <w:left w:val="nil"/>
              <w:bottom w:val="nil"/>
              <w:right w:val="nil"/>
            </w:tcBorders>
          </w:tcPr>
          <w:p w14:paraId="109F52ED"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0.00</w:t>
            </w:r>
          </w:p>
        </w:tc>
        <w:tc>
          <w:tcPr>
            <w:tcW w:w="5670" w:type="dxa"/>
            <w:tcBorders>
              <w:top w:val="single" w:sz="8" w:space="0" w:color="auto"/>
              <w:left w:val="nil"/>
              <w:bottom w:val="nil"/>
              <w:right w:val="nil"/>
            </w:tcBorders>
          </w:tcPr>
          <w:p w14:paraId="4B3D046C"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r>
              <w:rPr>
                <w:rFonts w:ascii="Times New Roman" w:hAnsi="Times New Roman" w:cs="Times New Roman"/>
                <w:sz w:val="20"/>
              </w:rPr>
              <w:t xml:space="preserve"> + Exports</w:t>
            </w:r>
          </w:p>
        </w:tc>
      </w:tr>
      <w:tr w:rsidR="009E1DC5" w14:paraId="645CB66E" w14:textId="77777777" w:rsidTr="005C5F65">
        <w:tc>
          <w:tcPr>
            <w:tcW w:w="1260" w:type="dxa"/>
            <w:tcBorders>
              <w:top w:val="nil"/>
              <w:left w:val="nil"/>
              <w:bottom w:val="nil"/>
              <w:right w:val="nil"/>
            </w:tcBorders>
          </w:tcPr>
          <w:p w14:paraId="5D050823"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2</w:t>
            </w:r>
          </w:p>
        </w:tc>
        <w:tc>
          <w:tcPr>
            <w:tcW w:w="1170" w:type="dxa"/>
            <w:tcBorders>
              <w:top w:val="nil"/>
              <w:left w:val="nil"/>
              <w:bottom w:val="nil"/>
              <w:right w:val="nil"/>
            </w:tcBorders>
          </w:tcPr>
          <w:p w14:paraId="25160341"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0.45</w:t>
            </w:r>
          </w:p>
        </w:tc>
        <w:tc>
          <w:tcPr>
            <w:tcW w:w="5670" w:type="dxa"/>
            <w:tcBorders>
              <w:top w:val="nil"/>
              <w:left w:val="nil"/>
              <w:bottom w:val="nil"/>
              <w:right w:val="nil"/>
            </w:tcBorders>
          </w:tcPr>
          <w:p w14:paraId="5887949A"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r>
              <w:rPr>
                <w:rFonts w:ascii="Times New Roman" w:hAnsi="Times New Roman" w:cs="Times New Roman"/>
                <w:sz w:val="20"/>
              </w:rPr>
              <w:t xml:space="preserve"> + Exports + Escapement</w:t>
            </w:r>
          </w:p>
        </w:tc>
      </w:tr>
      <w:tr w:rsidR="009E1DC5" w14:paraId="6C1D7BAC" w14:textId="77777777" w:rsidTr="005C5F65">
        <w:tc>
          <w:tcPr>
            <w:tcW w:w="1260" w:type="dxa"/>
            <w:tcBorders>
              <w:top w:val="nil"/>
              <w:left w:val="nil"/>
              <w:bottom w:val="nil"/>
              <w:right w:val="nil"/>
            </w:tcBorders>
          </w:tcPr>
          <w:p w14:paraId="53CF75AC"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3</w:t>
            </w:r>
          </w:p>
        </w:tc>
        <w:tc>
          <w:tcPr>
            <w:tcW w:w="1170" w:type="dxa"/>
            <w:tcBorders>
              <w:top w:val="nil"/>
              <w:left w:val="nil"/>
              <w:bottom w:val="nil"/>
              <w:right w:val="nil"/>
            </w:tcBorders>
          </w:tcPr>
          <w:p w14:paraId="58E22DE9"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2.57</w:t>
            </w:r>
          </w:p>
        </w:tc>
        <w:tc>
          <w:tcPr>
            <w:tcW w:w="5670" w:type="dxa"/>
            <w:tcBorders>
              <w:top w:val="nil"/>
              <w:left w:val="nil"/>
              <w:bottom w:val="nil"/>
              <w:right w:val="nil"/>
            </w:tcBorders>
          </w:tcPr>
          <w:p w14:paraId="78082918"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r>
              <w:rPr>
                <w:rFonts w:ascii="Times New Roman" w:hAnsi="Times New Roman" w:cs="Times New Roman"/>
                <w:sz w:val="20"/>
              </w:rPr>
              <w:t xml:space="preserve"> + Exports + SRD</w:t>
            </w:r>
          </w:p>
        </w:tc>
      </w:tr>
      <w:tr w:rsidR="009E1DC5" w14:paraId="404B8D65" w14:textId="77777777" w:rsidTr="005C5F65">
        <w:tc>
          <w:tcPr>
            <w:tcW w:w="1260" w:type="dxa"/>
            <w:tcBorders>
              <w:top w:val="nil"/>
              <w:left w:val="nil"/>
              <w:bottom w:val="nil"/>
              <w:right w:val="nil"/>
            </w:tcBorders>
          </w:tcPr>
          <w:p w14:paraId="421E5C5C"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4</w:t>
            </w:r>
          </w:p>
        </w:tc>
        <w:tc>
          <w:tcPr>
            <w:tcW w:w="1170" w:type="dxa"/>
            <w:tcBorders>
              <w:top w:val="nil"/>
              <w:left w:val="nil"/>
              <w:bottom w:val="nil"/>
              <w:right w:val="nil"/>
            </w:tcBorders>
          </w:tcPr>
          <w:p w14:paraId="21CA1E66"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3.04</w:t>
            </w:r>
          </w:p>
        </w:tc>
        <w:tc>
          <w:tcPr>
            <w:tcW w:w="5670" w:type="dxa"/>
            <w:tcBorders>
              <w:top w:val="nil"/>
              <w:left w:val="nil"/>
              <w:bottom w:val="nil"/>
              <w:right w:val="nil"/>
            </w:tcBorders>
          </w:tcPr>
          <w:p w14:paraId="61FCF4E3"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r>
              <w:rPr>
                <w:rFonts w:ascii="Times New Roman" w:hAnsi="Times New Roman" w:cs="Times New Roman"/>
                <w:sz w:val="20"/>
              </w:rPr>
              <w:t xml:space="preserve"> + Exports + Escapement + SRD</w:t>
            </w:r>
          </w:p>
        </w:tc>
      </w:tr>
      <w:tr w:rsidR="009E1DC5" w14:paraId="152394FE" w14:textId="77777777" w:rsidTr="005C5F65">
        <w:tc>
          <w:tcPr>
            <w:tcW w:w="1260" w:type="dxa"/>
            <w:tcBorders>
              <w:top w:val="nil"/>
              <w:left w:val="nil"/>
              <w:bottom w:val="nil"/>
              <w:right w:val="nil"/>
            </w:tcBorders>
          </w:tcPr>
          <w:p w14:paraId="2D7C28DE"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5</w:t>
            </w:r>
          </w:p>
        </w:tc>
        <w:tc>
          <w:tcPr>
            <w:tcW w:w="1170" w:type="dxa"/>
            <w:tcBorders>
              <w:top w:val="nil"/>
              <w:left w:val="nil"/>
              <w:bottom w:val="nil"/>
              <w:right w:val="nil"/>
            </w:tcBorders>
          </w:tcPr>
          <w:p w14:paraId="0F38A9F0"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6.36</w:t>
            </w:r>
          </w:p>
        </w:tc>
        <w:tc>
          <w:tcPr>
            <w:tcW w:w="5670" w:type="dxa"/>
            <w:tcBorders>
              <w:top w:val="nil"/>
              <w:left w:val="nil"/>
              <w:bottom w:val="nil"/>
              <w:right w:val="nil"/>
            </w:tcBorders>
          </w:tcPr>
          <w:p w14:paraId="0BDC1523"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p>
        </w:tc>
      </w:tr>
      <w:tr w:rsidR="009E1DC5" w14:paraId="684C618E" w14:textId="77777777" w:rsidTr="005C5F65">
        <w:tc>
          <w:tcPr>
            <w:tcW w:w="1260" w:type="dxa"/>
            <w:tcBorders>
              <w:top w:val="nil"/>
              <w:left w:val="nil"/>
              <w:bottom w:val="nil"/>
              <w:right w:val="nil"/>
            </w:tcBorders>
          </w:tcPr>
          <w:p w14:paraId="11178D5F" w14:textId="77777777" w:rsidR="009E1DC5" w:rsidRDefault="009E1DC5" w:rsidP="005C5F65">
            <w:pPr>
              <w:rPr>
                <w:rFonts w:ascii="Times New Roman" w:hAnsi="Times New Roman" w:cs="Times New Roman"/>
                <w:sz w:val="20"/>
              </w:rPr>
            </w:pPr>
            <w:r>
              <w:rPr>
                <w:rFonts w:ascii="Times New Roman" w:hAnsi="Times New Roman" w:cs="Times New Roman"/>
                <w:sz w:val="20"/>
              </w:rPr>
              <w:t>6</w:t>
            </w:r>
          </w:p>
        </w:tc>
        <w:tc>
          <w:tcPr>
            <w:tcW w:w="1170" w:type="dxa"/>
            <w:tcBorders>
              <w:top w:val="nil"/>
              <w:left w:val="nil"/>
              <w:bottom w:val="nil"/>
              <w:right w:val="nil"/>
            </w:tcBorders>
          </w:tcPr>
          <w:p w14:paraId="4F9738B9"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7.37</w:t>
            </w:r>
          </w:p>
        </w:tc>
        <w:tc>
          <w:tcPr>
            <w:tcW w:w="5670" w:type="dxa"/>
            <w:tcBorders>
              <w:top w:val="nil"/>
              <w:left w:val="nil"/>
              <w:bottom w:val="nil"/>
              <w:right w:val="nil"/>
            </w:tcBorders>
          </w:tcPr>
          <w:p w14:paraId="7767E86C"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Exports + </w:t>
            </w:r>
            <w:proofErr w:type="spellStart"/>
            <w:proofErr w:type="gramStart"/>
            <w:r>
              <w:rPr>
                <w:rFonts w:ascii="Times New Roman" w:hAnsi="Times New Roman" w:cs="Times New Roman"/>
                <w:sz w:val="20"/>
              </w:rPr>
              <w:t>Month:Exports</w:t>
            </w:r>
            <w:proofErr w:type="spellEnd"/>
            <w:proofErr w:type="gramEnd"/>
          </w:p>
        </w:tc>
      </w:tr>
      <w:tr w:rsidR="009E1DC5" w14:paraId="24A68998" w14:textId="77777777" w:rsidTr="005C5F65">
        <w:tc>
          <w:tcPr>
            <w:tcW w:w="1260" w:type="dxa"/>
            <w:tcBorders>
              <w:top w:val="nil"/>
              <w:left w:val="nil"/>
              <w:bottom w:val="nil"/>
              <w:right w:val="nil"/>
            </w:tcBorders>
          </w:tcPr>
          <w:p w14:paraId="55477B32"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7</w:t>
            </w:r>
          </w:p>
        </w:tc>
        <w:tc>
          <w:tcPr>
            <w:tcW w:w="1170" w:type="dxa"/>
            <w:tcBorders>
              <w:top w:val="nil"/>
              <w:left w:val="nil"/>
              <w:bottom w:val="nil"/>
              <w:right w:val="nil"/>
            </w:tcBorders>
          </w:tcPr>
          <w:p w14:paraId="324E1B9C"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7.54</w:t>
            </w:r>
          </w:p>
        </w:tc>
        <w:tc>
          <w:tcPr>
            <w:tcW w:w="5670" w:type="dxa"/>
            <w:tcBorders>
              <w:top w:val="nil"/>
              <w:left w:val="nil"/>
              <w:bottom w:val="nil"/>
              <w:right w:val="nil"/>
            </w:tcBorders>
          </w:tcPr>
          <w:p w14:paraId="7985FF78"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r>
              <w:rPr>
                <w:rFonts w:ascii="Times New Roman" w:hAnsi="Times New Roman" w:cs="Times New Roman"/>
                <w:sz w:val="20"/>
              </w:rPr>
              <w:t xml:space="preserve"> + SRD</w:t>
            </w:r>
          </w:p>
        </w:tc>
      </w:tr>
      <w:tr w:rsidR="009E1DC5" w14:paraId="21F1F1D2" w14:textId="77777777" w:rsidTr="005C5F65">
        <w:tc>
          <w:tcPr>
            <w:tcW w:w="1260" w:type="dxa"/>
            <w:tcBorders>
              <w:top w:val="nil"/>
              <w:left w:val="nil"/>
              <w:bottom w:val="nil"/>
              <w:right w:val="nil"/>
            </w:tcBorders>
          </w:tcPr>
          <w:p w14:paraId="23F94E62" w14:textId="77777777" w:rsidR="009E1DC5" w:rsidRDefault="009E1DC5" w:rsidP="005C5F65">
            <w:pPr>
              <w:rPr>
                <w:rFonts w:ascii="Times New Roman" w:hAnsi="Times New Roman" w:cs="Times New Roman"/>
                <w:sz w:val="20"/>
              </w:rPr>
            </w:pPr>
            <w:r>
              <w:rPr>
                <w:rFonts w:ascii="Times New Roman" w:hAnsi="Times New Roman" w:cs="Times New Roman"/>
                <w:sz w:val="20"/>
              </w:rPr>
              <w:t>8</w:t>
            </w:r>
          </w:p>
        </w:tc>
        <w:tc>
          <w:tcPr>
            <w:tcW w:w="1170" w:type="dxa"/>
            <w:tcBorders>
              <w:top w:val="nil"/>
              <w:left w:val="nil"/>
              <w:bottom w:val="nil"/>
              <w:right w:val="nil"/>
            </w:tcBorders>
          </w:tcPr>
          <w:p w14:paraId="2E40C7FD"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8.56</w:t>
            </w:r>
          </w:p>
        </w:tc>
        <w:tc>
          <w:tcPr>
            <w:tcW w:w="5670" w:type="dxa"/>
            <w:tcBorders>
              <w:top w:val="nil"/>
              <w:left w:val="nil"/>
              <w:bottom w:val="nil"/>
              <w:right w:val="nil"/>
            </w:tcBorders>
          </w:tcPr>
          <w:p w14:paraId="06450C35"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r>
              <w:rPr>
                <w:rFonts w:ascii="Times New Roman" w:hAnsi="Times New Roman" w:cs="Times New Roman"/>
                <w:sz w:val="20"/>
              </w:rPr>
              <w:t xml:space="preserve"> + Escapement</w:t>
            </w:r>
          </w:p>
        </w:tc>
      </w:tr>
      <w:tr w:rsidR="009E1DC5" w14:paraId="0B0AB9F0" w14:textId="77777777" w:rsidTr="005C5F65">
        <w:tc>
          <w:tcPr>
            <w:tcW w:w="1260" w:type="dxa"/>
            <w:tcBorders>
              <w:top w:val="nil"/>
              <w:left w:val="nil"/>
              <w:bottom w:val="nil"/>
              <w:right w:val="nil"/>
            </w:tcBorders>
          </w:tcPr>
          <w:p w14:paraId="59D6D157" w14:textId="77777777" w:rsidR="009E1DC5" w:rsidRDefault="009E1DC5" w:rsidP="005C5F65">
            <w:pPr>
              <w:rPr>
                <w:rFonts w:ascii="Times New Roman" w:hAnsi="Times New Roman" w:cs="Times New Roman"/>
                <w:sz w:val="20"/>
              </w:rPr>
            </w:pPr>
            <w:r>
              <w:rPr>
                <w:rFonts w:ascii="Times New Roman" w:hAnsi="Times New Roman" w:cs="Times New Roman"/>
                <w:sz w:val="20"/>
              </w:rPr>
              <w:t>9</w:t>
            </w:r>
          </w:p>
        </w:tc>
        <w:tc>
          <w:tcPr>
            <w:tcW w:w="1170" w:type="dxa"/>
            <w:tcBorders>
              <w:top w:val="nil"/>
              <w:left w:val="nil"/>
              <w:bottom w:val="nil"/>
              <w:right w:val="nil"/>
            </w:tcBorders>
          </w:tcPr>
          <w:p w14:paraId="2129DE75"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8.73</w:t>
            </w:r>
          </w:p>
        </w:tc>
        <w:tc>
          <w:tcPr>
            <w:tcW w:w="5670" w:type="dxa"/>
            <w:tcBorders>
              <w:top w:val="nil"/>
              <w:left w:val="nil"/>
              <w:bottom w:val="nil"/>
              <w:right w:val="nil"/>
            </w:tcBorders>
          </w:tcPr>
          <w:p w14:paraId="5E47FEE7"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Exports + </w:t>
            </w:r>
            <w:proofErr w:type="spellStart"/>
            <w:proofErr w:type="gramStart"/>
            <w:r>
              <w:rPr>
                <w:rFonts w:ascii="Times New Roman" w:hAnsi="Times New Roman" w:cs="Times New Roman"/>
                <w:sz w:val="20"/>
              </w:rPr>
              <w:t>Month:Exports</w:t>
            </w:r>
            <w:proofErr w:type="spellEnd"/>
            <w:proofErr w:type="gramEnd"/>
            <w:r>
              <w:rPr>
                <w:rFonts w:ascii="Times New Roman" w:hAnsi="Times New Roman" w:cs="Times New Roman"/>
                <w:sz w:val="20"/>
              </w:rPr>
              <w:t xml:space="preserve"> + SRD</w:t>
            </w:r>
          </w:p>
        </w:tc>
      </w:tr>
      <w:tr w:rsidR="009E1DC5" w14:paraId="6DA76042" w14:textId="77777777" w:rsidTr="005C5F65">
        <w:tc>
          <w:tcPr>
            <w:tcW w:w="1260" w:type="dxa"/>
            <w:tcBorders>
              <w:top w:val="nil"/>
              <w:left w:val="nil"/>
              <w:bottom w:val="nil"/>
              <w:right w:val="nil"/>
            </w:tcBorders>
          </w:tcPr>
          <w:p w14:paraId="358BF3BF" w14:textId="77777777" w:rsidR="009E1DC5" w:rsidRDefault="009E1DC5" w:rsidP="005C5F65">
            <w:pPr>
              <w:rPr>
                <w:rFonts w:ascii="Times New Roman" w:hAnsi="Times New Roman" w:cs="Times New Roman"/>
                <w:sz w:val="20"/>
              </w:rPr>
            </w:pPr>
            <w:r>
              <w:rPr>
                <w:rFonts w:ascii="Times New Roman" w:hAnsi="Times New Roman" w:cs="Times New Roman"/>
                <w:sz w:val="20"/>
              </w:rPr>
              <w:t>10</w:t>
            </w:r>
          </w:p>
        </w:tc>
        <w:tc>
          <w:tcPr>
            <w:tcW w:w="1170" w:type="dxa"/>
            <w:tcBorders>
              <w:top w:val="nil"/>
              <w:left w:val="nil"/>
              <w:bottom w:val="nil"/>
              <w:right w:val="nil"/>
            </w:tcBorders>
          </w:tcPr>
          <w:p w14:paraId="5512ABC5"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9.51</w:t>
            </w:r>
          </w:p>
        </w:tc>
        <w:tc>
          <w:tcPr>
            <w:tcW w:w="5670" w:type="dxa"/>
            <w:tcBorders>
              <w:top w:val="nil"/>
              <w:left w:val="nil"/>
              <w:bottom w:val="nil"/>
              <w:right w:val="nil"/>
            </w:tcBorders>
          </w:tcPr>
          <w:p w14:paraId="4854860C" w14:textId="77777777" w:rsidR="009E1DC5" w:rsidRDefault="009E1DC5" w:rsidP="005C5F65">
            <w:pPr>
              <w:rPr>
                <w:rFonts w:ascii="Times New Roman" w:hAnsi="Times New Roman" w:cs="Times New Roman"/>
                <w:sz w:val="20"/>
              </w:rPr>
            </w:pPr>
            <w:r>
              <w:rPr>
                <w:rFonts w:ascii="Times New Roman" w:hAnsi="Times New Roman" w:cs="Times New Roman"/>
                <w:sz w:val="20"/>
              </w:rPr>
              <w:t xml:space="preserve">Month + OMR + </w:t>
            </w:r>
            <w:proofErr w:type="spellStart"/>
            <w:proofErr w:type="gramStart"/>
            <w:r>
              <w:rPr>
                <w:rFonts w:ascii="Times New Roman" w:hAnsi="Times New Roman" w:cs="Times New Roman"/>
                <w:sz w:val="20"/>
              </w:rPr>
              <w:t>Month:OMR</w:t>
            </w:r>
            <w:proofErr w:type="spellEnd"/>
            <w:proofErr w:type="gramEnd"/>
            <w:r>
              <w:rPr>
                <w:rFonts w:ascii="Times New Roman" w:hAnsi="Times New Roman" w:cs="Times New Roman"/>
                <w:sz w:val="20"/>
              </w:rPr>
              <w:t xml:space="preserve"> + SRD + Escapement</w:t>
            </w:r>
          </w:p>
        </w:tc>
      </w:tr>
      <w:tr w:rsidR="009E1DC5" w14:paraId="7A1E6DA1" w14:textId="77777777" w:rsidTr="005C5F65">
        <w:tc>
          <w:tcPr>
            <w:tcW w:w="1260" w:type="dxa"/>
            <w:tcBorders>
              <w:top w:val="nil"/>
              <w:left w:val="nil"/>
              <w:bottom w:val="single" w:sz="8" w:space="0" w:color="auto"/>
              <w:right w:val="nil"/>
            </w:tcBorders>
          </w:tcPr>
          <w:p w14:paraId="4924C561" w14:textId="77777777" w:rsidR="009E1DC5" w:rsidRDefault="009E1DC5" w:rsidP="005C5F65">
            <w:pPr>
              <w:rPr>
                <w:rFonts w:ascii="Times New Roman" w:hAnsi="Times New Roman" w:cs="Times New Roman"/>
                <w:sz w:val="20"/>
              </w:rPr>
            </w:pPr>
            <w:r>
              <w:rPr>
                <w:rFonts w:ascii="Times New Roman" w:hAnsi="Times New Roman" w:cs="Times New Roman"/>
                <w:sz w:val="20"/>
              </w:rPr>
              <w:t>11</w:t>
            </w:r>
          </w:p>
        </w:tc>
        <w:tc>
          <w:tcPr>
            <w:tcW w:w="1170" w:type="dxa"/>
            <w:tcBorders>
              <w:top w:val="nil"/>
              <w:left w:val="nil"/>
              <w:bottom w:val="single" w:sz="8" w:space="0" w:color="auto"/>
              <w:right w:val="nil"/>
            </w:tcBorders>
          </w:tcPr>
          <w:p w14:paraId="22B4E864" w14:textId="77777777" w:rsidR="009E1DC5" w:rsidRDefault="009E1DC5" w:rsidP="005C5F65">
            <w:pPr>
              <w:jc w:val="center"/>
              <w:rPr>
                <w:rFonts w:ascii="Times New Roman" w:hAnsi="Times New Roman" w:cs="Times New Roman"/>
                <w:sz w:val="20"/>
              </w:rPr>
            </w:pPr>
            <w:r>
              <w:rPr>
                <w:rFonts w:ascii="Times New Roman" w:hAnsi="Times New Roman" w:cs="Times New Roman"/>
                <w:sz w:val="20"/>
              </w:rPr>
              <w:t>9.79</w:t>
            </w:r>
          </w:p>
        </w:tc>
        <w:tc>
          <w:tcPr>
            <w:tcW w:w="5670" w:type="dxa"/>
            <w:tcBorders>
              <w:top w:val="nil"/>
              <w:left w:val="nil"/>
              <w:bottom w:val="single" w:sz="8" w:space="0" w:color="auto"/>
              <w:right w:val="nil"/>
            </w:tcBorders>
          </w:tcPr>
          <w:p w14:paraId="1144091E" w14:textId="77777777" w:rsidR="009E1DC5" w:rsidRPr="00907680" w:rsidRDefault="009E1DC5" w:rsidP="005C5F65">
            <w:pPr>
              <w:rPr>
                <w:rFonts w:ascii="Times New Roman" w:hAnsi="Times New Roman" w:cs="Times New Roman"/>
                <w:sz w:val="20"/>
              </w:rPr>
            </w:pPr>
            <w:r>
              <w:rPr>
                <w:rFonts w:ascii="Times New Roman" w:hAnsi="Times New Roman" w:cs="Times New Roman"/>
                <w:sz w:val="20"/>
              </w:rPr>
              <w:t xml:space="preserve">Month + OMR + Exports + </w:t>
            </w:r>
            <w:proofErr w:type="spellStart"/>
            <w:proofErr w:type="gramStart"/>
            <w:r>
              <w:rPr>
                <w:rFonts w:ascii="Times New Roman" w:hAnsi="Times New Roman" w:cs="Times New Roman"/>
                <w:sz w:val="20"/>
              </w:rPr>
              <w:t>Month:Exports</w:t>
            </w:r>
            <w:proofErr w:type="spellEnd"/>
            <w:proofErr w:type="gramEnd"/>
            <w:r>
              <w:rPr>
                <w:rFonts w:ascii="Times New Roman" w:hAnsi="Times New Roman" w:cs="Times New Roman"/>
                <w:sz w:val="20"/>
              </w:rPr>
              <w:t xml:space="preserve"> + Escapement</w:t>
            </w:r>
          </w:p>
        </w:tc>
      </w:tr>
    </w:tbl>
    <w:p w14:paraId="7C60C05B" w14:textId="77777777" w:rsidR="009E1DC5" w:rsidRDefault="009E1DC5">
      <w:pPr>
        <w:rPr>
          <w:rFonts w:ascii="Times New Roman" w:hAnsi="Times New Roman" w:cs="Times New Roman"/>
        </w:rPr>
      </w:pPr>
    </w:p>
    <w:p w14:paraId="26C06177" w14:textId="77777777" w:rsidR="00391449" w:rsidRDefault="00391449" w:rsidP="00391449">
      <w:pPr>
        <w:rPr>
          <w:rFonts w:ascii="Times New Roman" w:hAnsi="Times New Roman" w:cs="Times New Roman"/>
        </w:rPr>
      </w:pPr>
      <w:r>
        <w:rPr>
          <w:rFonts w:ascii="Times New Roman" w:hAnsi="Times New Roman" w:cs="Times New Roman"/>
        </w:rPr>
        <w:t xml:space="preserve">There were strong and significant effects of </w:t>
      </w:r>
      <w:r w:rsidR="0096586F">
        <w:rPr>
          <w:rFonts w:ascii="Times New Roman" w:hAnsi="Times New Roman" w:cs="Times New Roman"/>
        </w:rPr>
        <w:t>Month, OMR, and Exports on salvage (Table 2).</w:t>
      </w:r>
      <w:r w:rsidR="00C03236">
        <w:rPr>
          <w:rFonts w:ascii="Times New Roman" w:hAnsi="Times New Roman" w:cs="Times New Roman"/>
        </w:rPr>
        <w:t xml:space="preserve"> </w:t>
      </w:r>
      <w:r w:rsidR="009968B2">
        <w:rPr>
          <w:rFonts w:ascii="Times New Roman" w:hAnsi="Times New Roman" w:cs="Times New Roman"/>
        </w:rPr>
        <w:t xml:space="preserve">In general, salvage is higher in February and March compared to December, January, and April (Figures 2, 3). There was a significant effect of increasing exports on salvage where for every ~3,200 </w:t>
      </w:r>
      <w:proofErr w:type="spellStart"/>
      <w:r w:rsidR="009968B2">
        <w:rPr>
          <w:rFonts w:ascii="Times New Roman" w:hAnsi="Times New Roman" w:cs="Times New Roman"/>
        </w:rPr>
        <w:t>cfs</w:t>
      </w:r>
      <w:proofErr w:type="spellEnd"/>
      <w:r w:rsidR="009968B2">
        <w:rPr>
          <w:rFonts w:ascii="Times New Roman" w:hAnsi="Times New Roman" w:cs="Times New Roman"/>
        </w:rPr>
        <w:t xml:space="preserve"> increase in exports salvage would increase approximately 1.6 times from the baseline (~150 fish). </w:t>
      </w:r>
      <w:r w:rsidR="00E9096D">
        <w:rPr>
          <w:rFonts w:ascii="Times New Roman" w:hAnsi="Times New Roman" w:cs="Times New Roman"/>
        </w:rPr>
        <w:t>Decreasing</w:t>
      </w:r>
      <w:r w:rsidR="009968B2">
        <w:rPr>
          <w:rFonts w:ascii="Times New Roman" w:hAnsi="Times New Roman" w:cs="Times New Roman"/>
        </w:rPr>
        <w:t xml:space="preserve"> OMR flows (i.e., more negative flow) also significantly increased the expected salvage count (</w:t>
      </w:r>
      <w:r w:rsidR="00E9096D">
        <w:rPr>
          <w:rFonts w:ascii="Times New Roman" w:hAnsi="Times New Roman" w:cs="Times New Roman"/>
        </w:rPr>
        <w:t xml:space="preserve">Figures 2, 3; </w:t>
      </w:r>
      <w:r w:rsidR="009968B2">
        <w:rPr>
          <w:rFonts w:ascii="Times New Roman" w:hAnsi="Times New Roman" w:cs="Times New Roman"/>
        </w:rPr>
        <w:t>Table 2). However, it is important to note the significant interaction between OMR and Month</w:t>
      </w:r>
      <w:r w:rsidR="00E9096D">
        <w:rPr>
          <w:rFonts w:ascii="Times New Roman" w:hAnsi="Times New Roman" w:cs="Times New Roman"/>
        </w:rPr>
        <w:t>, which means</w:t>
      </w:r>
      <w:r w:rsidR="009968B2">
        <w:rPr>
          <w:rFonts w:ascii="Times New Roman" w:hAnsi="Times New Roman" w:cs="Times New Roman"/>
        </w:rPr>
        <w:t xml:space="preserve"> the relative impact of altering OMR will be significantly different across months.</w:t>
      </w:r>
      <w:r w:rsidR="00C03236">
        <w:rPr>
          <w:rFonts w:ascii="Times New Roman" w:hAnsi="Times New Roman" w:cs="Times New Roman"/>
        </w:rPr>
        <w:t xml:space="preserve">  </w:t>
      </w:r>
    </w:p>
    <w:p w14:paraId="3D67D631" w14:textId="77777777" w:rsidR="0096586F" w:rsidRDefault="0096586F" w:rsidP="00391449">
      <w:pPr>
        <w:rPr>
          <w:rFonts w:ascii="Times New Roman" w:hAnsi="Times New Roman" w:cs="Times New Roman"/>
        </w:rPr>
      </w:pPr>
      <w:r>
        <w:rPr>
          <w:rFonts w:ascii="Times New Roman" w:hAnsi="Times New Roman" w:cs="Times New Roman"/>
        </w:rPr>
        <w:t>Table 2: Top-ranked negative binomial regression model parameter coefficients, coefficient estimate standard error, Z-value, and P value. The intercept in this model is fit to average salvage in April</w:t>
      </w:r>
      <w:r w:rsidR="00120D97">
        <w:rPr>
          <w:rFonts w:ascii="Times New Roman" w:hAnsi="Times New Roman" w:cs="Times New Roman"/>
        </w:rPr>
        <w:t xml:space="preserve"> with average OMR and Exports</w:t>
      </w:r>
      <w:r>
        <w:rPr>
          <w:rFonts w:ascii="Times New Roman" w:hAnsi="Times New Roman" w:cs="Times New Roman"/>
        </w:rPr>
        <w:t>. Coefficients ‘adjust’ the expected salvage for the corresponding month</w:t>
      </w:r>
      <w:r w:rsidR="00120D97">
        <w:rPr>
          <w:rFonts w:ascii="Times New Roman" w:hAnsi="Times New Roman" w:cs="Times New Roman"/>
        </w:rPr>
        <w:t xml:space="preserve">, OMR, Export combination. </w:t>
      </w:r>
      <w:r>
        <w:rPr>
          <w:rFonts w:ascii="Times New Roman" w:hAnsi="Times New Roman" w:cs="Times New Roman"/>
        </w:rPr>
        <w:t>Interaction terms are noted with “:”. Note data for OMR and Exports were centered and scaled and thus the parameter estimates are based on units of standard deviation for these parameters.</w:t>
      </w:r>
    </w:p>
    <w:tbl>
      <w:tblPr>
        <w:tblStyle w:val="TableGrid"/>
        <w:tblW w:w="0" w:type="auto"/>
        <w:tblLook w:val="04A0" w:firstRow="1" w:lastRow="0" w:firstColumn="1" w:lastColumn="0" w:noHBand="0" w:noVBand="1"/>
      </w:tblPr>
      <w:tblGrid>
        <w:gridCol w:w="1710"/>
        <w:gridCol w:w="1440"/>
        <w:gridCol w:w="1440"/>
        <w:gridCol w:w="1440"/>
        <w:gridCol w:w="1440"/>
      </w:tblGrid>
      <w:tr w:rsidR="0096586F" w14:paraId="347688E7" w14:textId="77777777" w:rsidTr="00120D97">
        <w:tc>
          <w:tcPr>
            <w:tcW w:w="1710" w:type="dxa"/>
            <w:tcBorders>
              <w:top w:val="single" w:sz="8" w:space="0" w:color="auto"/>
              <w:left w:val="nil"/>
              <w:bottom w:val="single" w:sz="4" w:space="0" w:color="auto"/>
              <w:right w:val="nil"/>
            </w:tcBorders>
          </w:tcPr>
          <w:p w14:paraId="5390E5F9" w14:textId="77777777" w:rsidR="0096586F" w:rsidRDefault="0096586F" w:rsidP="00391449">
            <w:pPr>
              <w:rPr>
                <w:rFonts w:ascii="Times New Roman" w:hAnsi="Times New Roman" w:cs="Times New Roman"/>
              </w:rPr>
            </w:pPr>
            <w:r>
              <w:rPr>
                <w:rFonts w:ascii="Times New Roman" w:hAnsi="Times New Roman" w:cs="Times New Roman"/>
              </w:rPr>
              <w:t>Parameter</w:t>
            </w:r>
          </w:p>
        </w:tc>
        <w:tc>
          <w:tcPr>
            <w:tcW w:w="1440" w:type="dxa"/>
            <w:tcBorders>
              <w:top w:val="single" w:sz="8" w:space="0" w:color="auto"/>
              <w:left w:val="nil"/>
              <w:bottom w:val="single" w:sz="4" w:space="0" w:color="auto"/>
              <w:right w:val="nil"/>
            </w:tcBorders>
          </w:tcPr>
          <w:p w14:paraId="78D368EE" w14:textId="77777777" w:rsidR="0096586F" w:rsidRDefault="0096586F" w:rsidP="0096586F">
            <w:pPr>
              <w:jc w:val="center"/>
              <w:rPr>
                <w:rFonts w:ascii="Times New Roman" w:hAnsi="Times New Roman" w:cs="Times New Roman"/>
              </w:rPr>
            </w:pPr>
            <w:r>
              <w:rPr>
                <w:rFonts w:ascii="Times New Roman" w:hAnsi="Times New Roman" w:cs="Times New Roman"/>
              </w:rPr>
              <w:t>Estimate</w:t>
            </w:r>
          </w:p>
        </w:tc>
        <w:tc>
          <w:tcPr>
            <w:tcW w:w="1440" w:type="dxa"/>
            <w:tcBorders>
              <w:top w:val="single" w:sz="8" w:space="0" w:color="auto"/>
              <w:left w:val="nil"/>
              <w:bottom w:val="single" w:sz="4" w:space="0" w:color="auto"/>
              <w:right w:val="nil"/>
            </w:tcBorders>
          </w:tcPr>
          <w:p w14:paraId="616D6CBE" w14:textId="77777777" w:rsidR="0096586F" w:rsidRDefault="0096586F" w:rsidP="0096586F">
            <w:pPr>
              <w:jc w:val="center"/>
              <w:rPr>
                <w:rFonts w:ascii="Times New Roman" w:hAnsi="Times New Roman" w:cs="Times New Roman"/>
              </w:rPr>
            </w:pPr>
            <w:r>
              <w:rPr>
                <w:rFonts w:ascii="Times New Roman" w:hAnsi="Times New Roman" w:cs="Times New Roman"/>
              </w:rPr>
              <w:t>Std. Error</w:t>
            </w:r>
          </w:p>
        </w:tc>
        <w:tc>
          <w:tcPr>
            <w:tcW w:w="1440" w:type="dxa"/>
            <w:tcBorders>
              <w:top w:val="single" w:sz="8" w:space="0" w:color="auto"/>
              <w:left w:val="nil"/>
              <w:bottom w:val="single" w:sz="4" w:space="0" w:color="auto"/>
              <w:right w:val="nil"/>
            </w:tcBorders>
          </w:tcPr>
          <w:p w14:paraId="3DF19FA6" w14:textId="77777777" w:rsidR="0096586F" w:rsidRDefault="0096586F" w:rsidP="0096586F">
            <w:pPr>
              <w:jc w:val="center"/>
              <w:rPr>
                <w:rFonts w:ascii="Times New Roman" w:hAnsi="Times New Roman" w:cs="Times New Roman"/>
              </w:rPr>
            </w:pPr>
            <w:r>
              <w:rPr>
                <w:rFonts w:ascii="Times New Roman" w:hAnsi="Times New Roman" w:cs="Times New Roman"/>
              </w:rPr>
              <w:t>Z value</w:t>
            </w:r>
          </w:p>
        </w:tc>
        <w:tc>
          <w:tcPr>
            <w:tcW w:w="1440" w:type="dxa"/>
            <w:tcBorders>
              <w:top w:val="single" w:sz="8" w:space="0" w:color="auto"/>
              <w:left w:val="nil"/>
              <w:bottom w:val="single" w:sz="4" w:space="0" w:color="auto"/>
              <w:right w:val="nil"/>
            </w:tcBorders>
          </w:tcPr>
          <w:p w14:paraId="798668FC" w14:textId="77777777" w:rsidR="0096586F" w:rsidRDefault="0096586F" w:rsidP="0096586F">
            <w:pPr>
              <w:jc w:val="center"/>
              <w:rPr>
                <w:rFonts w:ascii="Times New Roman" w:hAnsi="Times New Roman" w:cs="Times New Roman"/>
              </w:rPr>
            </w:pPr>
            <w:proofErr w:type="spellStart"/>
            <w:r>
              <w:rPr>
                <w:rFonts w:ascii="Times New Roman" w:hAnsi="Times New Roman" w:cs="Times New Roman"/>
              </w:rPr>
              <w:t>Pr</w:t>
            </w:r>
            <w:proofErr w:type="spellEnd"/>
            <w:r>
              <w:rPr>
                <w:rFonts w:ascii="Times New Roman" w:hAnsi="Times New Roman" w:cs="Times New Roman"/>
              </w:rPr>
              <w:t xml:space="preserve"> (&gt; | z |)</w:t>
            </w:r>
          </w:p>
        </w:tc>
      </w:tr>
      <w:tr w:rsidR="0096586F" w14:paraId="3B046B09" w14:textId="77777777" w:rsidTr="00120D97">
        <w:tc>
          <w:tcPr>
            <w:tcW w:w="1710" w:type="dxa"/>
            <w:tcBorders>
              <w:left w:val="nil"/>
              <w:bottom w:val="nil"/>
              <w:right w:val="nil"/>
            </w:tcBorders>
          </w:tcPr>
          <w:p w14:paraId="426EDB69" w14:textId="77777777" w:rsidR="0096586F" w:rsidRDefault="0096586F" w:rsidP="00391449">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1E42EA7"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5.0552</w:t>
            </w:r>
          </w:p>
        </w:tc>
        <w:tc>
          <w:tcPr>
            <w:tcW w:w="1440" w:type="dxa"/>
            <w:tcBorders>
              <w:left w:val="nil"/>
              <w:bottom w:val="nil"/>
              <w:right w:val="nil"/>
            </w:tcBorders>
          </w:tcPr>
          <w:p w14:paraId="19DE788A"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0.2689</w:t>
            </w:r>
          </w:p>
        </w:tc>
        <w:tc>
          <w:tcPr>
            <w:tcW w:w="1440" w:type="dxa"/>
            <w:tcBorders>
              <w:left w:val="nil"/>
              <w:bottom w:val="nil"/>
              <w:right w:val="nil"/>
            </w:tcBorders>
          </w:tcPr>
          <w:p w14:paraId="06C2FEA2"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18.797</w:t>
            </w:r>
          </w:p>
        </w:tc>
        <w:tc>
          <w:tcPr>
            <w:tcW w:w="1440" w:type="dxa"/>
            <w:tcBorders>
              <w:left w:val="nil"/>
              <w:bottom w:val="nil"/>
              <w:right w:val="nil"/>
            </w:tcBorders>
          </w:tcPr>
          <w:p w14:paraId="01AF3EAF" w14:textId="77777777" w:rsidR="0096586F" w:rsidRDefault="00120D97" w:rsidP="00120D97">
            <w:pPr>
              <w:jc w:val="center"/>
              <w:rPr>
                <w:rFonts w:ascii="Times New Roman" w:hAnsi="Times New Roman" w:cs="Times New Roman"/>
              </w:rPr>
            </w:pPr>
            <w:r>
              <w:rPr>
                <w:rFonts w:ascii="Times New Roman" w:hAnsi="Times New Roman" w:cs="Times New Roman"/>
              </w:rPr>
              <w:t>&lt; 0.001</w:t>
            </w:r>
          </w:p>
        </w:tc>
      </w:tr>
      <w:tr w:rsidR="0096586F" w14:paraId="2FB3CA45" w14:textId="77777777" w:rsidTr="00120D97">
        <w:tc>
          <w:tcPr>
            <w:tcW w:w="1710" w:type="dxa"/>
            <w:tcBorders>
              <w:top w:val="nil"/>
              <w:left w:val="nil"/>
              <w:bottom w:val="nil"/>
              <w:right w:val="nil"/>
            </w:tcBorders>
          </w:tcPr>
          <w:p w14:paraId="338AF93C" w14:textId="77777777" w:rsidR="0096586F" w:rsidRDefault="0096586F" w:rsidP="00391449">
            <w:pPr>
              <w:rPr>
                <w:rFonts w:ascii="Times New Roman" w:hAnsi="Times New Roman" w:cs="Times New Roman"/>
              </w:rPr>
            </w:pPr>
            <w:r>
              <w:rPr>
                <w:rFonts w:ascii="Times New Roman" w:hAnsi="Times New Roman" w:cs="Times New Roman"/>
              </w:rPr>
              <w:t>December</w:t>
            </w:r>
          </w:p>
        </w:tc>
        <w:tc>
          <w:tcPr>
            <w:tcW w:w="1440" w:type="dxa"/>
            <w:tcBorders>
              <w:top w:val="nil"/>
              <w:left w:val="nil"/>
              <w:bottom w:val="nil"/>
              <w:right w:val="nil"/>
            </w:tcBorders>
          </w:tcPr>
          <w:p w14:paraId="75884FC8" w14:textId="77777777" w:rsidR="0096586F" w:rsidRDefault="0096586F" w:rsidP="00120D97">
            <w:pPr>
              <w:jc w:val="center"/>
              <w:rPr>
                <w:rFonts w:ascii="Times New Roman" w:hAnsi="Times New Roman" w:cs="Times New Roman"/>
              </w:rPr>
            </w:pPr>
            <w:r>
              <w:rPr>
                <w:rFonts w:ascii="Times New Roman" w:hAnsi="Times New Roman" w:cs="Times New Roman"/>
              </w:rPr>
              <w:t>-0.5101</w:t>
            </w:r>
          </w:p>
        </w:tc>
        <w:tc>
          <w:tcPr>
            <w:tcW w:w="1440" w:type="dxa"/>
            <w:tcBorders>
              <w:top w:val="nil"/>
              <w:left w:val="nil"/>
              <w:bottom w:val="nil"/>
              <w:right w:val="nil"/>
            </w:tcBorders>
          </w:tcPr>
          <w:p w14:paraId="09699575"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0.3658</w:t>
            </w:r>
          </w:p>
        </w:tc>
        <w:tc>
          <w:tcPr>
            <w:tcW w:w="1440" w:type="dxa"/>
            <w:tcBorders>
              <w:top w:val="nil"/>
              <w:left w:val="nil"/>
              <w:bottom w:val="nil"/>
              <w:right w:val="nil"/>
            </w:tcBorders>
          </w:tcPr>
          <w:p w14:paraId="32976F43"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-1.395</w:t>
            </w:r>
          </w:p>
        </w:tc>
        <w:tc>
          <w:tcPr>
            <w:tcW w:w="1440" w:type="dxa"/>
            <w:tcBorders>
              <w:top w:val="nil"/>
              <w:left w:val="nil"/>
              <w:bottom w:val="nil"/>
              <w:right w:val="nil"/>
            </w:tcBorders>
          </w:tcPr>
          <w:p w14:paraId="76943B4C" w14:textId="77777777" w:rsidR="0096586F" w:rsidRDefault="00120D97" w:rsidP="00120D97">
            <w:pPr>
              <w:jc w:val="center"/>
              <w:rPr>
                <w:rFonts w:ascii="Times New Roman" w:hAnsi="Times New Roman" w:cs="Times New Roman"/>
              </w:rPr>
            </w:pPr>
            <w:r>
              <w:rPr>
                <w:rFonts w:ascii="Times New Roman" w:hAnsi="Times New Roman" w:cs="Times New Roman"/>
              </w:rPr>
              <w:t>0.163</w:t>
            </w:r>
          </w:p>
        </w:tc>
      </w:tr>
      <w:tr w:rsidR="0096586F" w14:paraId="2EE44FDC" w14:textId="77777777" w:rsidTr="00120D97">
        <w:tc>
          <w:tcPr>
            <w:tcW w:w="1710" w:type="dxa"/>
            <w:tcBorders>
              <w:top w:val="nil"/>
              <w:left w:val="nil"/>
              <w:bottom w:val="nil"/>
              <w:right w:val="nil"/>
            </w:tcBorders>
          </w:tcPr>
          <w:p w14:paraId="1F63960E" w14:textId="77777777" w:rsidR="0096586F" w:rsidRDefault="0096586F" w:rsidP="00391449">
            <w:pPr>
              <w:rPr>
                <w:rFonts w:ascii="Times New Roman" w:hAnsi="Times New Roman" w:cs="Times New Roman"/>
              </w:rPr>
            </w:pPr>
            <w:r>
              <w:rPr>
                <w:rFonts w:ascii="Times New Roman" w:hAnsi="Times New Roman" w:cs="Times New Roman"/>
              </w:rPr>
              <w:t>January</w:t>
            </w:r>
          </w:p>
        </w:tc>
        <w:tc>
          <w:tcPr>
            <w:tcW w:w="1440" w:type="dxa"/>
            <w:tcBorders>
              <w:top w:val="nil"/>
              <w:left w:val="nil"/>
              <w:bottom w:val="nil"/>
              <w:right w:val="nil"/>
            </w:tcBorders>
          </w:tcPr>
          <w:p w14:paraId="4A805A85"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1.0824</w:t>
            </w:r>
          </w:p>
        </w:tc>
        <w:tc>
          <w:tcPr>
            <w:tcW w:w="1440" w:type="dxa"/>
            <w:tcBorders>
              <w:top w:val="nil"/>
              <w:left w:val="nil"/>
              <w:bottom w:val="nil"/>
              <w:right w:val="nil"/>
            </w:tcBorders>
          </w:tcPr>
          <w:p w14:paraId="391D8C70"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0.3688</w:t>
            </w:r>
          </w:p>
        </w:tc>
        <w:tc>
          <w:tcPr>
            <w:tcW w:w="1440" w:type="dxa"/>
            <w:tcBorders>
              <w:top w:val="nil"/>
              <w:left w:val="nil"/>
              <w:bottom w:val="nil"/>
              <w:right w:val="nil"/>
            </w:tcBorders>
          </w:tcPr>
          <w:p w14:paraId="3DA182A6"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2.935</w:t>
            </w:r>
          </w:p>
        </w:tc>
        <w:tc>
          <w:tcPr>
            <w:tcW w:w="1440" w:type="dxa"/>
            <w:tcBorders>
              <w:top w:val="nil"/>
              <w:left w:val="nil"/>
              <w:bottom w:val="nil"/>
              <w:right w:val="nil"/>
            </w:tcBorders>
          </w:tcPr>
          <w:p w14:paraId="781DEB99" w14:textId="77777777" w:rsidR="0096586F" w:rsidRDefault="00120D97" w:rsidP="00120D97">
            <w:pPr>
              <w:jc w:val="center"/>
              <w:rPr>
                <w:rFonts w:ascii="Times New Roman" w:hAnsi="Times New Roman" w:cs="Times New Roman"/>
              </w:rPr>
            </w:pPr>
            <w:r>
              <w:rPr>
                <w:rFonts w:ascii="Times New Roman" w:hAnsi="Times New Roman" w:cs="Times New Roman"/>
              </w:rPr>
              <w:t>0.003</w:t>
            </w:r>
          </w:p>
        </w:tc>
      </w:tr>
      <w:tr w:rsidR="0096586F" w14:paraId="05419E36" w14:textId="77777777" w:rsidTr="00120D97">
        <w:tc>
          <w:tcPr>
            <w:tcW w:w="1710" w:type="dxa"/>
            <w:tcBorders>
              <w:top w:val="nil"/>
              <w:left w:val="nil"/>
              <w:bottom w:val="nil"/>
              <w:right w:val="nil"/>
            </w:tcBorders>
          </w:tcPr>
          <w:p w14:paraId="07D86765" w14:textId="77777777" w:rsidR="0096586F" w:rsidRDefault="0096586F" w:rsidP="00391449">
            <w:pPr>
              <w:rPr>
                <w:rFonts w:ascii="Times New Roman" w:hAnsi="Times New Roman" w:cs="Times New Roman"/>
              </w:rPr>
            </w:pPr>
            <w:r>
              <w:rPr>
                <w:rFonts w:ascii="Times New Roman" w:hAnsi="Times New Roman" w:cs="Times New Roman"/>
              </w:rPr>
              <w:t>February</w:t>
            </w:r>
          </w:p>
        </w:tc>
        <w:tc>
          <w:tcPr>
            <w:tcW w:w="1440" w:type="dxa"/>
            <w:tcBorders>
              <w:top w:val="nil"/>
              <w:left w:val="nil"/>
              <w:bottom w:val="nil"/>
              <w:right w:val="nil"/>
            </w:tcBorders>
          </w:tcPr>
          <w:p w14:paraId="14033136"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1.5046</w:t>
            </w:r>
          </w:p>
        </w:tc>
        <w:tc>
          <w:tcPr>
            <w:tcW w:w="1440" w:type="dxa"/>
            <w:tcBorders>
              <w:top w:val="nil"/>
              <w:left w:val="nil"/>
              <w:bottom w:val="nil"/>
              <w:right w:val="nil"/>
            </w:tcBorders>
          </w:tcPr>
          <w:p w14:paraId="59839BD7"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0.3568</w:t>
            </w:r>
          </w:p>
        </w:tc>
        <w:tc>
          <w:tcPr>
            <w:tcW w:w="1440" w:type="dxa"/>
            <w:tcBorders>
              <w:top w:val="nil"/>
              <w:left w:val="nil"/>
              <w:bottom w:val="nil"/>
              <w:right w:val="nil"/>
            </w:tcBorders>
          </w:tcPr>
          <w:p w14:paraId="28FE5BED"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4.217</w:t>
            </w:r>
          </w:p>
        </w:tc>
        <w:tc>
          <w:tcPr>
            <w:tcW w:w="1440" w:type="dxa"/>
            <w:tcBorders>
              <w:top w:val="nil"/>
              <w:left w:val="nil"/>
              <w:bottom w:val="nil"/>
              <w:right w:val="nil"/>
            </w:tcBorders>
          </w:tcPr>
          <w:p w14:paraId="41195E40" w14:textId="77777777" w:rsidR="0096586F" w:rsidRDefault="00120D97" w:rsidP="00120D97">
            <w:pPr>
              <w:jc w:val="center"/>
              <w:rPr>
                <w:rFonts w:ascii="Times New Roman" w:hAnsi="Times New Roman" w:cs="Times New Roman"/>
              </w:rPr>
            </w:pPr>
            <w:r>
              <w:rPr>
                <w:rFonts w:ascii="Times New Roman" w:hAnsi="Times New Roman" w:cs="Times New Roman"/>
              </w:rPr>
              <w:t>&lt; 0.001</w:t>
            </w:r>
          </w:p>
        </w:tc>
      </w:tr>
      <w:tr w:rsidR="0096586F" w14:paraId="67EA320E" w14:textId="77777777" w:rsidTr="00120D97">
        <w:tc>
          <w:tcPr>
            <w:tcW w:w="1710" w:type="dxa"/>
            <w:tcBorders>
              <w:top w:val="nil"/>
              <w:left w:val="nil"/>
              <w:bottom w:val="nil"/>
              <w:right w:val="nil"/>
            </w:tcBorders>
          </w:tcPr>
          <w:p w14:paraId="415F32BE" w14:textId="77777777" w:rsidR="0096586F" w:rsidRDefault="0096586F" w:rsidP="00391449">
            <w:pPr>
              <w:rPr>
                <w:rFonts w:ascii="Times New Roman" w:hAnsi="Times New Roman" w:cs="Times New Roman"/>
              </w:rPr>
            </w:pPr>
            <w:r>
              <w:rPr>
                <w:rFonts w:ascii="Times New Roman" w:hAnsi="Times New Roman" w:cs="Times New Roman"/>
              </w:rPr>
              <w:t>March</w:t>
            </w:r>
          </w:p>
        </w:tc>
        <w:tc>
          <w:tcPr>
            <w:tcW w:w="1440" w:type="dxa"/>
            <w:tcBorders>
              <w:top w:val="nil"/>
              <w:left w:val="nil"/>
              <w:bottom w:val="nil"/>
              <w:right w:val="nil"/>
            </w:tcBorders>
          </w:tcPr>
          <w:p w14:paraId="7C2A748B"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1.7985</w:t>
            </w:r>
          </w:p>
        </w:tc>
        <w:tc>
          <w:tcPr>
            <w:tcW w:w="1440" w:type="dxa"/>
            <w:tcBorders>
              <w:top w:val="nil"/>
              <w:left w:val="nil"/>
              <w:bottom w:val="nil"/>
              <w:right w:val="nil"/>
            </w:tcBorders>
          </w:tcPr>
          <w:p w14:paraId="03C5EA51"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0.3570</w:t>
            </w:r>
          </w:p>
        </w:tc>
        <w:tc>
          <w:tcPr>
            <w:tcW w:w="1440" w:type="dxa"/>
            <w:tcBorders>
              <w:top w:val="nil"/>
              <w:left w:val="nil"/>
              <w:bottom w:val="nil"/>
              <w:right w:val="nil"/>
            </w:tcBorders>
          </w:tcPr>
          <w:p w14:paraId="5ABAD59A"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5.038</w:t>
            </w:r>
          </w:p>
        </w:tc>
        <w:tc>
          <w:tcPr>
            <w:tcW w:w="1440" w:type="dxa"/>
            <w:tcBorders>
              <w:top w:val="nil"/>
              <w:left w:val="nil"/>
              <w:bottom w:val="nil"/>
              <w:right w:val="nil"/>
            </w:tcBorders>
          </w:tcPr>
          <w:p w14:paraId="4CA16D48" w14:textId="77777777" w:rsidR="0096586F" w:rsidRDefault="00120D97" w:rsidP="00120D97">
            <w:pPr>
              <w:jc w:val="center"/>
              <w:rPr>
                <w:rFonts w:ascii="Times New Roman" w:hAnsi="Times New Roman" w:cs="Times New Roman"/>
              </w:rPr>
            </w:pPr>
            <w:r>
              <w:rPr>
                <w:rFonts w:ascii="Times New Roman" w:hAnsi="Times New Roman" w:cs="Times New Roman"/>
              </w:rPr>
              <w:t>&lt; 0.001</w:t>
            </w:r>
          </w:p>
        </w:tc>
      </w:tr>
      <w:tr w:rsidR="0096586F" w14:paraId="32746A88" w14:textId="77777777" w:rsidTr="00120D97">
        <w:tc>
          <w:tcPr>
            <w:tcW w:w="1710" w:type="dxa"/>
            <w:tcBorders>
              <w:top w:val="nil"/>
              <w:left w:val="nil"/>
              <w:bottom w:val="nil"/>
              <w:right w:val="nil"/>
            </w:tcBorders>
          </w:tcPr>
          <w:p w14:paraId="1E8F2731" w14:textId="77777777" w:rsidR="0096586F" w:rsidRDefault="0096586F" w:rsidP="0096586F">
            <w:pPr>
              <w:rPr>
                <w:rFonts w:ascii="Times New Roman" w:hAnsi="Times New Roman" w:cs="Times New Roman"/>
              </w:rPr>
            </w:pPr>
            <w:r>
              <w:rPr>
                <w:rFonts w:ascii="Times New Roman" w:hAnsi="Times New Roman" w:cs="Times New Roman"/>
              </w:rPr>
              <w:t>OMR</w:t>
            </w:r>
          </w:p>
        </w:tc>
        <w:tc>
          <w:tcPr>
            <w:tcW w:w="1440" w:type="dxa"/>
            <w:tcBorders>
              <w:top w:val="nil"/>
              <w:left w:val="nil"/>
              <w:bottom w:val="nil"/>
              <w:right w:val="nil"/>
            </w:tcBorders>
          </w:tcPr>
          <w:p w14:paraId="74DF500D"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0.2944</w:t>
            </w:r>
          </w:p>
        </w:tc>
        <w:tc>
          <w:tcPr>
            <w:tcW w:w="1440" w:type="dxa"/>
            <w:tcBorders>
              <w:top w:val="nil"/>
              <w:left w:val="nil"/>
              <w:bottom w:val="nil"/>
              <w:right w:val="nil"/>
            </w:tcBorders>
          </w:tcPr>
          <w:p w14:paraId="360EE6FA"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0.2046</w:t>
            </w:r>
          </w:p>
        </w:tc>
        <w:tc>
          <w:tcPr>
            <w:tcW w:w="1440" w:type="dxa"/>
            <w:tcBorders>
              <w:top w:val="nil"/>
              <w:left w:val="nil"/>
              <w:bottom w:val="nil"/>
              <w:right w:val="nil"/>
            </w:tcBorders>
          </w:tcPr>
          <w:p w14:paraId="74BFE028"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1.439</w:t>
            </w:r>
          </w:p>
        </w:tc>
        <w:tc>
          <w:tcPr>
            <w:tcW w:w="1440" w:type="dxa"/>
            <w:tcBorders>
              <w:top w:val="nil"/>
              <w:left w:val="nil"/>
              <w:bottom w:val="nil"/>
              <w:right w:val="nil"/>
            </w:tcBorders>
          </w:tcPr>
          <w:p w14:paraId="0007487C" w14:textId="77777777" w:rsidR="0096586F" w:rsidRDefault="00120D97" w:rsidP="00120D97">
            <w:pPr>
              <w:jc w:val="center"/>
              <w:rPr>
                <w:rFonts w:ascii="Times New Roman" w:hAnsi="Times New Roman" w:cs="Times New Roman"/>
              </w:rPr>
            </w:pPr>
            <w:r>
              <w:rPr>
                <w:rFonts w:ascii="Times New Roman" w:hAnsi="Times New Roman" w:cs="Times New Roman"/>
              </w:rPr>
              <w:t>0.150</w:t>
            </w:r>
          </w:p>
        </w:tc>
      </w:tr>
      <w:tr w:rsidR="0096586F" w14:paraId="3219F622" w14:textId="77777777" w:rsidTr="00120D97">
        <w:tc>
          <w:tcPr>
            <w:tcW w:w="1710" w:type="dxa"/>
            <w:tcBorders>
              <w:top w:val="nil"/>
              <w:left w:val="nil"/>
              <w:bottom w:val="nil"/>
              <w:right w:val="nil"/>
            </w:tcBorders>
          </w:tcPr>
          <w:p w14:paraId="3727A0B3" w14:textId="77777777" w:rsidR="0096586F" w:rsidRDefault="0096586F" w:rsidP="0096586F">
            <w:pPr>
              <w:rPr>
                <w:rFonts w:ascii="Times New Roman" w:hAnsi="Times New Roman" w:cs="Times New Roman"/>
              </w:rPr>
            </w:pPr>
            <w:r>
              <w:rPr>
                <w:rFonts w:ascii="Times New Roman" w:hAnsi="Times New Roman" w:cs="Times New Roman"/>
              </w:rPr>
              <w:t>Exports</w:t>
            </w:r>
          </w:p>
        </w:tc>
        <w:tc>
          <w:tcPr>
            <w:tcW w:w="1440" w:type="dxa"/>
            <w:tcBorders>
              <w:top w:val="nil"/>
              <w:left w:val="nil"/>
              <w:bottom w:val="nil"/>
              <w:right w:val="nil"/>
            </w:tcBorders>
          </w:tcPr>
          <w:p w14:paraId="064CCA79"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0.4910</w:t>
            </w:r>
          </w:p>
        </w:tc>
        <w:tc>
          <w:tcPr>
            <w:tcW w:w="1440" w:type="dxa"/>
            <w:tcBorders>
              <w:top w:val="nil"/>
              <w:left w:val="nil"/>
              <w:bottom w:val="nil"/>
              <w:right w:val="nil"/>
            </w:tcBorders>
          </w:tcPr>
          <w:p w14:paraId="4B003675"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0.1554</w:t>
            </w:r>
          </w:p>
        </w:tc>
        <w:tc>
          <w:tcPr>
            <w:tcW w:w="1440" w:type="dxa"/>
            <w:tcBorders>
              <w:top w:val="nil"/>
              <w:left w:val="nil"/>
              <w:bottom w:val="nil"/>
              <w:right w:val="nil"/>
            </w:tcBorders>
          </w:tcPr>
          <w:p w14:paraId="623610AD"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3.160</w:t>
            </w:r>
          </w:p>
        </w:tc>
        <w:tc>
          <w:tcPr>
            <w:tcW w:w="1440" w:type="dxa"/>
            <w:tcBorders>
              <w:top w:val="nil"/>
              <w:left w:val="nil"/>
              <w:bottom w:val="nil"/>
              <w:right w:val="nil"/>
            </w:tcBorders>
          </w:tcPr>
          <w:p w14:paraId="4F2AA572" w14:textId="77777777" w:rsidR="0096586F" w:rsidRDefault="00120D97" w:rsidP="00120D97">
            <w:pPr>
              <w:jc w:val="center"/>
              <w:rPr>
                <w:rFonts w:ascii="Times New Roman" w:hAnsi="Times New Roman" w:cs="Times New Roman"/>
              </w:rPr>
            </w:pPr>
            <w:r>
              <w:rPr>
                <w:rFonts w:ascii="Times New Roman" w:hAnsi="Times New Roman" w:cs="Times New Roman"/>
              </w:rPr>
              <w:t>0.002</w:t>
            </w:r>
          </w:p>
        </w:tc>
      </w:tr>
      <w:tr w:rsidR="0096586F" w14:paraId="47FEEBB2" w14:textId="77777777" w:rsidTr="00120D97">
        <w:tc>
          <w:tcPr>
            <w:tcW w:w="1710" w:type="dxa"/>
            <w:tcBorders>
              <w:top w:val="nil"/>
              <w:left w:val="nil"/>
              <w:bottom w:val="nil"/>
              <w:right w:val="nil"/>
            </w:tcBorders>
          </w:tcPr>
          <w:p w14:paraId="29044986" w14:textId="77777777" w:rsidR="0096586F" w:rsidRDefault="0096586F" w:rsidP="0096586F">
            <w:pPr>
              <w:rPr>
                <w:rFonts w:ascii="Times New Roman" w:hAnsi="Times New Roman" w:cs="Times New Roman"/>
              </w:rPr>
            </w:pPr>
            <w:proofErr w:type="spellStart"/>
            <w:proofErr w:type="gramStart"/>
            <w:r>
              <w:rPr>
                <w:rFonts w:ascii="Times New Roman" w:hAnsi="Times New Roman" w:cs="Times New Roman"/>
              </w:rPr>
              <w:t>December:OMR</w:t>
            </w:r>
            <w:proofErr w:type="spellEnd"/>
            <w:proofErr w:type="gramEnd"/>
          </w:p>
        </w:tc>
        <w:tc>
          <w:tcPr>
            <w:tcW w:w="1440" w:type="dxa"/>
            <w:tcBorders>
              <w:top w:val="nil"/>
              <w:left w:val="nil"/>
              <w:bottom w:val="nil"/>
              <w:right w:val="nil"/>
            </w:tcBorders>
          </w:tcPr>
          <w:p w14:paraId="248564FC"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-1.3654</w:t>
            </w:r>
          </w:p>
        </w:tc>
        <w:tc>
          <w:tcPr>
            <w:tcW w:w="1440" w:type="dxa"/>
            <w:tcBorders>
              <w:top w:val="nil"/>
              <w:left w:val="nil"/>
              <w:bottom w:val="nil"/>
              <w:right w:val="nil"/>
            </w:tcBorders>
          </w:tcPr>
          <w:p w14:paraId="2C7FE014"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0.4828</w:t>
            </w:r>
          </w:p>
        </w:tc>
        <w:tc>
          <w:tcPr>
            <w:tcW w:w="1440" w:type="dxa"/>
            <w:tcBorders>
              <w:top w:val="nil"/>
              <w:left w:val="nil"/>
              <w:bottom w:val="nil"/>
              <w:right w:val="nil"/>
            </w:tcBorders>
          </w:tcPr>
          <w:p w14:paraId="40C43283"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-2.828</w:t>
            </w:r>
          </w:p>
        </w:tc>
        <w:tc>
          <w:tcPr>
            <w:tcW w:w="1440" w:type="dxa"/>
            <w:tcBorders>
              <w:top w:val="nil"/>
              <w:left w:val="nil"/>
              <w:bottom w:val="nil"/>
              <w:right w:val="nil"/>
            </w:tcBorders>
          </w:tcPr>
          <w:p w14:paraId="41D29DDC" w14:textId="77777777" w:rsidR="0096586F" w:rsidRDefault="00120D97" w:rsidP="00120D97">
            <w:pPr>
              <w:jc w:val="center"/>
              <w:rPr>
                <w:rFonts w:ascii="Times New Roman" w:hAnsi="Times New Roman" w:cs="Times New Roman"/>
              </w:rPr>
            </w:pPr>
            <w:r>
              <w:rPr>
                <w:rFonts w:ascii="Times New Roman" w:hAnsi="Times New Roman" w:cs="Times New Roman"/>
              </w:rPr>
              <w:t>0.005</w:t>
            </w:r>
          </w:p>
        </w:tc>
      </w:tr>
      <w:tr w:rsidR="0096586F" w14:paraId="79157831" w14:textId="77777777" w:rsidTr="00120D97">
        <w:tc>
          <w:tcPr>
            <w:tcW w:w="1710" w:type="dxa"/>
            <w:tcBorders>
              <w:top w:val="nil"/>
              <w:left w:val="nil"/>
              <w:bottom w:val="nil"/>
              <w:right w:val="nil"/>
            </w:tcBorders>
          </w:tcPr>
          <w:p w14:paraId="19A4DF49" w14:textId="77777777" w:rsidR="0096586F" w:rsidRDefault="0096586F" w:rsidP="0096586F">
            <w:pPr>
              <w:rPr>
                <w:rFonts w:ascii="Times New Roman" w:hAnsi="Times New Roman" w:cs="Times New Roman"/>
              </w:rPr>
            </w:pPr>
            <w:proofErr w:type="spellStart"/>
            <w:proofErr w:type="gramStart"/>
            <w:r>
              <w:rPr>
                <w:rFonts w:ascii="Times New Roman" w:hAnsi="Times New Roman" w:cs="Times New Roman"/>
              </w:rPr>
              <w:t>January:OMR</w:t>
            </w:r>
            <w:proofErr w:type="spellEnd"/>
            <w:proofErr w:type="gramEnd"/>
          </w:p>
        </w:tc>
        <w:tc>
          <w:tcPr>
            <w:tcW w:w="1440" w:type="dxa"/>
            <w:tcBorders>
              <w:top w:val="nil"/>
              <w:left w:val="nil"/>
              <w:bottom w:val="nil"/>
              <w:right w:val="nil"/>
            </w:tcBorders>
          </w:tcPr>
          <w:p w14:paraId="6516C244"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-1.5884</w:t>
            </w:r>
          </w:p>
        </w:tc>
        <w:tc>
          <w:tcPr>
            <w:tcW w:w="1440" w:type="dxa"/>
            <w:tcBorders>
              <w:top w:val="nil"/>
              <w:left w:val="nil"/>
              <w:bottom w:val="nil"/>
              <w:right w:val="nil"/>
            </w:tcBorders>
          </w:tcPr>
          <w:p w14:paraId="3527A73C"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0.3279</w:t>
            </w:r>
          </w:p>
        </w:tc>
        <w:tc>
          <w:tcPr>
            <w:tcW w:w="1440" w:type="dxa"/>
            <w:tcBorders>
              <w:top w:val="nil"/>
              <w:left w:val="nil"/>
              <w:bottom w:val="nil"/>
              <w:right w:val="nil"/>
            </w:tcBorders>
          </w:tcPr>
          <w:p w14:paraId="4D477E4A"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-4.844</w:t>
            </w:r>
          </w:p>
        </w:tc>
        <w:tc>
          <w:tcPr>
            <w:tcW w:w="1440" w:type="dxa"/>
            <w:tcBorders>
              <w:top w:val="nil"/>
              <w:left w:val="nil"/>
              <w:bottom w:val="nil"/>
              <w:right w:val="nil"/>
            </w:tcBorders>
          </w:tcPr>
          <w:p w14:paraId="4AC4C063" w14:textId="77777777" w:rsidR="0096586F" w:rsidRDefault="00120D97" w:rsidP="00120D97">
            <w:pPr>
              <w:jc w:val="center"/>
              <w:rPr>
                <w:rFonts w:ascii="Times New Roman" w:hAnsi="Times New Roman" w:cs="Times New Roman"/>
              </w:rPr>
            </w:pPr>
            <w:r>
              <w:rPr>
                <w:rFonts w:ascii="Times New Roman" w:hAnsi="Times New Roman" w:cs="Times New Roman"/>
              </w:rPr>
              <w:t>&lt; 0.001</w:t>
            </w:r>
          </w:p>
        </w:tc>
      </w:tr>
      <w:tr w:rsidR="0096586F" w14:paraId="0E1E1367" w14:textId="77777777" w:rsidTr="00120D97">
        <w:tc>
          <w:tcPr>
            <w:tcW w:w="1710" w:type="dxa"/>
            <w:tcBorders>
              <w:top w:val="nil"/>
              <w:left w:val="nil"/>
              <w:bottom w:val="nil"/>
              <w:right w:val="nil"/>
            </w:tcBorders>
          </w:tcPr>
          <w:p w14:paraId="47B0F506" w14:textId="77777777" w:rsidR="0096586F" w:rsidRDefault="0096586F" w:rsidP="0096586F">
            <w:pPr>
              <w:rPr>
                <w:rFonts w:ascii="Times New Roman" w:hAnsi="Times New Roman" w:cs="Times New Roman"/>
              </w:rPr>
            </w:pPr>
            <w:proofErr w:type="spellStart"/>
            <w:proofErr w:type="gramStart"/>
            <w:r>
              <w:rPr>
                <w:rFonts w:ascii="Times New Roman" w:hAnsi="Times New Roman" w:cs="Times New Roman"/>
              </w:rPr>
              <w:t>February:OMR</w:t>
            </w:r>
            <w:proofErr w:type="spellEnd"/>
            <w:proofErr w:type="gramEnd"/>
          </w:p>
        </w:tc>
        <w:tc>
          <w:tcPr>
            <w:tcW w:w="1440" w:type="dxa"/>
            <w:tcBorders>
              <w:top w:val="nil"/>
              <w:left w:val="nil"/>
              <w:bottom w:val="nil"/>
              <w:right w:val="nil"/>
            </w:tcBorders>
          </w:tcPr>
          <w:p w14:paraId="6AB4BF85"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-0.8414</w:t>
            </w:r>
          </w:p>
        </w:tc>
        <w:tc>
          <w:tcPr>
            <w:tcW w:w="1440" w:type="dxa"/>
            <w:tcBorders>
              <w:top w:val="nil"/>
              <w:left w:val="nil"/>
              <w:bottom w:val="nil"/>
              <w:right w:val="nil"/>
            </w:tcBorders>
          </w:tcPr>
          <w:p w14:paraId="33243113"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0.2531</w:t>
            </w:r>
          </w:p>
        </w:tc>
        <w:tc>
          <w:tcPr>
            <w:tcW w:w="1440" w:type="dxa"/>
            <w:tcBorders>
              <w:top w:val="nil"/>
              <w:left w:val="nil"/>
              <w:bottom w:val="nil"/>
              <w:right w:val="nil"/>
            </w:tcBorders>
          </w:tcPr>
          <w:p w14:paraId="0E7B84FD"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-3.325</w:t>
            </w:r>
          </w:p>
        </w:tc>
        <w:tc>
          <w:tcPr>
            <w:tcW w:w="1440" w:type="dxa"/>
            <w:tcBorders>
              <w:top w:val="nil"/>
              <w:left w:val="nil"/>
              <w:bottom w:val="nil"/>
              <w:right w:val="nil"/>
            </w:tcBorders>
          </w:tcPr>
          <w:p w14:paraId="33A9A4A5" w14:textId="77777777" w:rsidR="0096586F" w:rsidRDefault="00120D97" w:rsidP="00120D97">
            <w:pPr>
              <w:jc w:val="center"/>
              <w:rPr>
                <w:rFonts w:ascii="Times New Roman" w:hAnsi="Times New Roman" w:cs="Times New Roman"/>
              </w:rPr>
            </w:pPr>
            <w:r>
              <w:rPr>
                <w:rFonts w:ascii="Times New Roman" w:hAnsi="Times New Roman" w:cs="Times New Roman"/>
              </w:rPr>
              <w:t>&lt; 0.001</w:t>
            </w:r>
          </w:p>
        </w:tc>
      </w:tr>
      <w:tr w:rsidR="0096586F" w14:paraId="51F340C4" w14:textId="77777777" w:rsidTr="00120D97">
        <w:tc>
          <w:tcPr>
            <w:tcW w:w="1710" w:type="dxa"/>
            <w:tcBorders>
              <w:top w:val="nil"/>
              <w:left w:val="nil"/>
              <w:bottom w:val="single" w:sz="8" w:space="0" w:color="auto"/>
              <w:right w:val="nil"/>
            </w:tcBorders>
          </w:tcPr>
          <w:p w14:paraId="32DB1881" w14:textId="77777777" w:rsidR="0096586F" w:rsidRDefault="0096586F" w:rsidP="0096586F">
            <w:pPr>
              <w:rPr>
                <w:rFonts w:ascii="Times New Roman" w:hAnsi="Times New Roman" w:cs="Times New Roman"/>
              </w:rPr>
            </w:pPr>
            <w:proofErr w:type="spellStart"/>
            <w:proofErr w:type="gramStart"/>
            <w:r>
              <w:rPr>
                <w:rFonts w:ascii="Times New Roman" w:hAnsi="Times New Roman" w:cs="Times New Roman"/>
              </w:rPr>
              <w:t>March:OMR</w:t>
            </w:r>
            <w:proofErr w:type="spellEnd"/>
            <w:proofErr w:type="gramEnd"/>
          </w:p>
        </w:tc>
        <w:tc>
          <w:tcPr>
            <w:tcW w:w="1440" w:type="dxa"/>
            <w:tcBorders>
              <w:top w:val="nil"/>
              <w:left w:val="nil"/>
              <w:bottom w:val="single" w:sz="8" w:space="0" w:color="auto"/>
              <w:right w:val="nil"/>
            </w:tcBorders>
          </w:tcPr>
          <w:p w14:paraId="1A47EEA6"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-0.9264</w:t>
            </w:r>
          </w:p>
        </w:tc>
        <w:tc>
          <w:tcPr>
            <w:tcW w:w="1440" w:type="dxa"/>
            <w:tcBorders>
              <w:top w:val="nil"/>
              <w:left w:val="nil"/>
              <w:bottom w:val="single" w:sz="8" w:space="0" w:color="auto"/>
              <w:right w:val="nil"/>
            </w:tcBorders>
          </w:tcPr>
          <w:p w14:paraId="549B0B5A"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0.3348</w:t>
            </w:r>
          </w:p>
        </w:tc>
        <w:tc>
          <w:tcPr>
            <w:tcW w:w="1440" w:type="dxa"/>
            <w:tcBorders>
              <w:top w:val="nil"/>
              <w:left w:val="nil"/>
              <w:bottom w:val="single" w:sz="8" w:space="0" w:color="auto"/>
              <w:right w:val="nil"/>
            </w:tcBorders>
          </w:tcPr>
          <w:p w14:paraId="5B0F6C9C" w14:textId="77777777" w:rsidR="0096586F" w:rsidRDefault="00120D97" w:rsidP="00120D97">
            <w:pPr>
              <w:jc w:val="center"/>
              <w:rPr>
                <w:rFonts w:ascii="Times New Roman" w:hAnsi="Times New Roman" w:cs="Times New Roman"/>
              </w:rPr>
            </w:pPr>
            <w:r w:rsidRPr="00120D97">
              <w:rPr>
                <w:rFonts w:ascii="Times New Roman" w:hAnsi="Times New Roman" w:cs="Times New Roman"/>
              </w:rPr>
              <w:t>-2.767</w:t>
            </w:r>
          </w:p>
        </w:tc>
        <w:tc>
          <w:tcPr>
            <w:tcW w:w="1440" w:type="dxa"/>
            <w:tcBorders>
              <w:top w:val="nil"/>
              <w:left w:val="nil"/>
              <w:bottom w:val="single" w:sz="8" w:space="0" w:color="auto"/>
              <w:right w:val="nil"/>
            </w:tcBorders>
          </w:tcPr>
          <w:p w14:paraId="79C6929B" w14:textId="77777777" w:rsidR="0096586F" w:rsidRDefault="00120D97" w:rsidP="00120D97">
            <w:pPr>
              <w:jc w:val="center"/>
              <w:rPr>
                <w:rFonts w:ascii="Times New Roman" w:hAnsi="Times New Roman" w:cs="Times New Roman"/>
              </w:rPr>
            </w:pPr>
            <w:r>
              <w:rPr>
                <w:rFonts w:ascii="Times New Roman" w:hAnsi="Times New Roman" w:cs="Times New Roman"/>
              </w:rPr>
              <w:t>0.006</w:t>
            </w:r>
          </w:p>
        </w:tc>
      </w:tr>
    </w:tbl>
    <w:p w14:paraId="7C086DCD" w14:textId="77777777" w:rsidR="0096586F" w:rsidRDefault="0096586F" w:rsidP="00391449">
      <w:pPr>
        <w:rPr>
          <w:rFonts w:ascii="Times New Roman" w:hAnsi="Times New Roman" w:cs="Times New Roman"/>
        </w:rPr>
      </w:pPr>
    </w:p>
    <w:p w14:paraId="6A694011" w14:textId="77777777" w:rsidR="00391449" w:rsidRDefault="00391449">
      <w:pPr>
        <w:rPr>
          <w:rFonts w:ascii="Times New Roman" w:hAnsi="Times New Roman" w:cs="Times New Roman"/>
        </w:rPr>
      </w:pPr>
    </w:p>
    <w:p w14:paraId="62CBA9E9" w14:textId="77777777" w:rsidR="00A60A73" w:rsidRDefault="00A60A73">
      <w:pPr>
        <w:rPr>
          <w:rFonts w:ascii="Times New Roman" w:hAnsi="Times New Roman" w:cs="Times New Roman"/>
        </w:rPr>
      </w:pPr>
      <w:r>
        <w:rPr>
          <w:noProof/>
        </w:rPr>
        <w:drawing>
          <wp:inline distT="0" distB="0" distL="0" distR="0" wp14:anchorId="3116AA8A" wp14:editId="4D994EEB">
            <wp:extent cx="41148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14:paraId="3A423267" w14:textId="77777777" w:rsidR="005D3CC7" w:rsidRDefault="005D3CC7">
      <w:pPr>
        <w:rPr>
          <w:rFonts w:ascii="Times New Roman" w:hAnsi="Times New Roman" w:cs="Times New Roman"/>
        </w:rPr>
      </w:pPr>
      <w:r>
        <w:rPr>
          <w:rFonts w:ascii="Times New Roman" w:hAnsi="Times New Roman" w:cs="Times New Roman"/>
        </w:rPr>
        <w:t xml:space="preserve">Figure 2. Negative binomial model fit </w:t>
      </w:r>
      <w:r w:rsidR="00080ADA">
        <w:rPr>
          <w:rFonts w:ascii="Times New Roman" w:hAnsi="Times New Roman" w:cs="Times New Roman"/>
        </w:rPr>
        <w:t xml:space="preserve">when average SWP and CVP exports are approximately 1500 </w:t>
      </w:r>
      <w:proofErr w:type="spellStart"/>
      <w:r w:rsidR="00080ADA">
        <w:rPr>
          <w:rFonts w:ascii="Times New Roman" w:hAnsi="Times New Roman" w:cs="Times New Roman"/>
        </w:rPr>
        <w:t>cfs</w:t>
      </w:r>
      <w:proofErr w:type="spellEnd"/>
      <w:r w:rsidR="00080ADA">
        <w:rPr>
          <w:rFonts w:ascii="Times New Roman" w:hAnsi="Times New Roman" w:cs="Times New Roman"/>
        </w:rPr>
        <w:t>.</w:t>
      </w:r>
      <w:r w:rsidR="00E9096D">
        <w:rPr>
          <w:rFonts w:ascii="Times New Roman" w:hAnsi="Times New Roman" w:cs="Times New Roman"/>
        </w:rPr>
        <w:t xml:space="preserve"> Each month is color coded where lines represent the mean model estimate and polygons encompass the 95% confidence intervals. Observed salvage data are plotted by color-coded points, where point size scales with export level for that data record.</w:t>
      </w:r>
    </w:p>
    <w:p w14:paraId="18945C55" w14:textId="77777777" w:rsidR="00A60A73" w:rsidRDefault="00A60A73">
      <w:pPr>
        <w:rPr>
          <w:rFonts w:ascii="Times New Roman" w:hAnsi="Times New Roman" w:cs="Times New Roman"/>
        </w:rPr>
      </w:pPr>
      <w:r>
        <w:rPr>
          <w:noProof/>
        </w:rPr>
        <w:drawing>
          <wp:inline distT="0" distB="0" distL="0" distR="0" wp14:anchorId="0D755E99" wp14:editId="6ABAC329">
            <wp:extent cx="41148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14:paraId="0EA6E43A" w14:textId="77777777" w:rsidR="005D3CC7" w:rsidRDefault="005D3CC7">
      <w:pPr>
        <w:rPr>
          <w:rFonts w:ascii="Times New Roman" w:hAnsi="Times New Roman" w:cs="Times New Roman"/>
        </w:rPr>
      </w:pPr>
      <w:r>
        <w:rPr>
          <w:rFonts w:ascii="Times New Roman" w:hAnsi="Times New Roman" w:cs="Times New Roman"/>
        </w:rPr>
        <w:lastRenderedPageBreak/>
        <w:t xml:space="preserve">Figure 3. </w:t>
      </w:r>
      <w:r w:rsidR="00080ADA">
        <w:rPr>
          <w:rFonts w:ascii="Times New Roman" w:hAnsi="Times New Roman" w:cs="Times New Roman"/>
        </w:rPr>
        <w:t xml:space="preserve">Negative binomial model fit when average SWP and CVP exports are approximately 12,000 </w:t>
      </w:r>
      <w:proofErr w:type="spellStart"/>
      <w:r w:rsidR="00080ADA">
        <w:rPr>
          <w:rFonts w:ascii="Times New Roman" w:hAnsi="Times New Roman" w:cs="Times New Roman"/>
        </w:rPr>
        <w:t>cfs</w:t>
      </w:r>
      <w:proofErr w:type="spellEnd"/>
      <w:r w:rsidR="00080ADA">
        <w:rPr>
          <w:rFonts w:ascii="Times New Roman" w:hAnsi="Times New Roman" w:cs="Times New Roman"/>
        </w:rPr>
        <w:t>.</w:t>
      </w:r>
      <w:r w:rsidR="00E9096D">
        <w:rPr>
          <w:rFonts w:ascii="Times New Roman" w:hAnsi="Times New Roman" w:cs="Times New Roman"/>
        </w:rPr>
        <w:t xml:space="preserve"> Each month is color coded where lines represent the mean model estimate and polygons encompass the 95% confidence intervals. Observed salvage data are plotted by color-coded points, where point size scales with export level for that data record.</w:t>
      </w:r>
    </w:p>
    <w:p w14:paraId="338E3327" w14:textId="77777777" w:rsidR="002A30A5" w:rsidRDefault="003C0FFD">
      <w:pPr>
        <w:rPr>
          <w:rFonts w:ascii="Times New Roman" w:hAnsi="Times New Roman" w:cs="Times New Roman"/>
        </w:rPr>
      </w:pPr>
      <w:r>
        <w:rPr>
          <w:rFonts w:ascii="Times New Roman" w:hAnsi="Times New Roman" w:cs="Times New Roman"/>
        </w:rPr>
        <w:t>T</w:t>
      </w:r>
      <w:r w:rsidR="002A30A5">
        <w:rPr>
          <w:rFonts w:ascii="Times New Roman" w:hAnsi="Times New Roman" w:cs="Times New Roman"/>
        </w:rPr>
        <w:t>he top-ranked model has limited predictive capability despite fitting the observed data reasonably well. The correlation between observed and predicted data (log</w:t>
      </w:r>
      <w:r w:rsidR="002A30A5" w:rsidRPr="002A30A5">
        <w:rPr>
          <w:rFonts w:ascii="Times New Roman" w:hAnsi="Times New Roman" w:cs="Times New Roman"/>
          <w:vertAlign w:val="subscript"/>
        </w:rPr>
        <w:t>10</w:t>
      </w:r>
      <w:r w:rsidR="002A30A5">
        <w:rPr>
          <w:rFonts w:ascii="Times New Roman" w:hAnsi="Times New Roman" w:cs="Times New Roman"/>
        </w:rPr>
        <w:t xml:space="preserve"> transformed) was positive but relatively weak (Adjusted R</w:t>
      </w:r>
      <w:r w:rsidR="002A30A5" w:rsidRPr="002A30A5">
        <w:rPr>
          <w:rFonts w:ascii="Times New Roman" w:hAnsi="Times New Roman" w:cs="Times New Roman"/>
          <w:vertAlign w:val="superscript"/>
        </w:rPr>
        <w:t>2</w:t>
      </w:r>
      <w:r w:rsidR="002A30A5">
        <w:rPr>
          <w:rFonts w:ascii="Times New Roman" w:hAnsi="Times New Roman" w:cs="Times New Roman"/>
        </w:rPr>
        <w:t xml:space="preserve"> = 0.49). </w:t>
      </w:r>
      <w:r w:rsidR="004207D8">
        <w:rPr>
          <w:rFonts w:ascii="Times New Roman" w:hAnsi="Times New Roman" w:cs="Times New Roman"/>
        </w:rPr>
        <w:t xml:space="preserve">Across the range of observed data, the model could possibly over or under estimate salvage by up to an order of magnitude (Figure 4). </w:t>
      </w:r>
      <w:r w:rsidR="002A30A5">
        <w:rPr>
          <w:rFonts w:ascii="Times New Roman" w:hAnsi="Times New Roman" w:cs="Times New Roman"/>
        </w:rPr>
        <w:t xml:space="preserve">Perhaps more importantly, the error in model predictions was not uniform with the model tending to overestimate </w:t>
      </w:r>
      <w:r w:rsidR="004207D8">
        <w:rPr>
          <w:rFonts w:ascii="Times New Roman" w:hAnsi="Times New Roman" w:cs="Times New Roman"/>
        </w:rPr>
        <w:t>salvage at low numbers and possibly under predict salvage at high numbers (Figure 4).</w:t>
      </w:r>
    </w:p>
    <w:p w14:paraId="714D2DD7" w14:textId="77777777" w:rsidR="005D3CC7" w:rsidRDefault="005D3CC7">
      <w:pPr>
        <w:rPr>
          <w:rFonts w:ascii="Times New Roman" w:hAnsi="Times New Roman" w:cs="Times New Roman"/>
        </w:rPr>
      </w:pPr>
      <w:r>
        <w:rPr>
          <w:noProof/>
        </w:rPr>
        <w:drawing>
          <wp:inline distT="0" distB="0" distL="0" distR="0" wp14:anchorId="19DDE2D9" wp14:editId="70546856">
            <wp:extent cx="41148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14:paraId="38E486AB" w14:textId="77777777" w:rsidR="00E9096D" w:rsidRDefault="00E9096D">
      <w:pPr>
        <w:rPr>
          <w:rFonts w:ascii="Times New Roman" w:hAnsi="Times New Roman" w:cs="Times New Roman"/>
        </w:rPr>
      </w:pPr>
      <w:r>
        <w:rPr>
          <w:rFonts w:ascii="Times New Roman" w:hAnsi="Times New Roman" w:cs="Times New Roman"/>
        </w:rPr>
        <w:t>Figure 4: Observed and predicted monthly salvage based on leave-one-out cross validation. Note both x and y axis are on a 1og</w:t>
      </w:r>
      <w:r w:rsidRPr="00E9096D">
        <w:rPr>
          <w:rFonts w:ascii="Times New Roman" w:hAnsi="Times New Roman" w:cs="Times New Roman"/>
          <w:vertAlign w:val="subscript"/>
        </w:rPr>
        <w:t>10</w:t>
      </w:r>
      <w:r>
        <w:rPr>
          <w:rFonts w:ascii="Times New Roman" w:hAnsi="Times New Roman" w:cs="Times New Roman"/>
        </w:rPr>
        <w:t xml:space="preserve"> scale. The dashed 1:1line marks were observed and predicted estimates are equal. The linear model fit between observed and predicted data is illustrated by the red line. </w:t>
      </w:r>
    </w:p>
    <w:p w14:paraId="320F27D0" w14:textId="77777777" w:rsidR="004207D8" w:rsidRDefault="004207D8">
      <w:pPr>
        <w:rPr>
          <w:rFonts w:ascii="Times New Roman" w:hAnsi="Times New Roman" w:cs="Times New Roman"/>
        </w:rPr>
      </w:pPr>
    </w:p>
    <w:p w14:paraId="0A771A4D" w14:textId="77777777" w:rsidR="004207D8" w:rsidRPr="004207D8" w:rsidRDefault="004207D8">
      <w:pPr>
        <w:rPr>
          <w:rFonts w:ascii="Times New Roman" w:hAnsi="Times New Roman" w:cs="Times New Roman"/>
          <w:smallCaps/>
        </w:rPr>
      </w:pPr>
      <w:r w:rsidRPr="004207D8">
        <w:rPr>
          <w:rFonts w:ascii="Times New Roman" w:hAnsi="Times New Roman" w:cs="Times New Roman"/>
          <w:smallCaps/>
        </w:rPr>
        <w:t>Conclusion</w:t>
      </w:r>
    </w:p>
    <w:p w14:paraId="1638B73E" w14:textId="77777777" w:rsidR="004207D8" w:rsidRDefault="004207D8">
      <w:pPr>
        <w:rPr>
          <w:rFonts w:ascii="Times New Roman" w:hAnsi="Times New Roman" w:cs="Times New Roman"/>
          <w:smallCaps/>
        </w:rPr>
      </w:pPr>
      <w:r>
        <w:rPr>
          <w:rFonts w:ascii="Times New Roman" w:hAnsi="Times New Roman" w:cs="Times New Roman"/>
        </w:rPr>
        <w:t xml:space="preserve">Over 100 different models were </w:t>
      </w:r>
      <w:r w:rsidR="004E4688">
        <w:rPr>
          <w:rFonts w:ascii="Times New Roman" w:hAnsi="Times New Roman" w:cs="Times New Roman"/>
        </w:rPr>
        <w:t>evaluated</w:t>
      </w:r>
      <w:r>
        <w:rPr>
          <w:rFonts w:ascii="Times New Roman" w:hAnsi="Times New Roman" w:cs="Times New Roman"/>
        </w:rPr>
        <w:t xml:space="preserve"> to examine the </w:t>
      </w:r>
      <w:r w:rsidRPr="004207D8">
        <w:rPr>
          <w:rFonts w:ascii="Times New Roman" w:hAnsi="Times New Roman" w:cs="Times New Roman"/>
        </w:rPr>
        <w:t>effects of CVP operations (i.e., exports and OMR) on historical monthly salvage of Winter-Run salmon.</w:t>
      </w:r>
      <w:r>
        <w:rPr>
          <w:rFonts w:ascii="Times New Roman" w:hAnsi="Times New Roman" w:cs="Times New Roman"/>
        </w:rPr>
        <w:t xml:space="preserve"> There was very strong support for a model including Month, OMR, Exports, and an interaction between Month and OMR to explain past variability in salvage counts. </w:t>
      </w:r>
      <w:r w:rsidR="004E4688">
        <w:rPr>
          <w:rFonts w:ascii="Times New Roman" w:hAnsi="Times New Roman" w:cs="Times New Roman"/>
        </w:rPr>
        <w:t>Examining the fit of this model to historical data</w:t>
      </w:r>
      <w:r>
        <w:rPr>
          <w:rFonts w:ascii="Times New Roman" w:hAnsi="Times New Roman" w:cs="Times New Roman"/>
        </w:rPr>
        <w:t xml:space="preserve"> provide</w:t>
      </w:r>
      <w:r w:rsidR="004E4688">
        <w:rPr>
          <w:rFonts w:ascii="Times New Roman" w:hAnsi="Times New Roman" w:cs="Times New Roman"/>
        </w:rPr>
        <w:t>s</w:t>
      </w:r>
      <w:r>
        <w:rPr>
          <w:rFonts w:ascii="Times New Roman" w:hAnsi="Times New Roman" w:cs="Times New Roman"/>
        </w:rPr>
        <w:t xml:space="preserve"> useful information for interpreting how changing OMR and/or Exports within different months will impact salvage number</w:t>
      </w:r>
      <w:r w:rsidR="004E4688">
        <w:rPr>
          <w:rFonts w:ascii="Times New Roman" w:hAnsi="Times New Roman" w:cs="Times New Roman"/>
        </w:rPr>
        <w:t xml:space="preserve"> (Figures 2, 3)</w:t>
      </w:r>
      <w:r>
        <w:rPr>
          <w:rFonts w:ascii="Times New Roman" w:hAnsi="Times New Roman" w:cs="Times New Roman"/>
        </w:rPr>
        <w:t>. However, the model does a relatively poor job predicting “out of sample” salvage counts</w:t>
      </w:r>
      <w:r w:rsidR="004E4688">
        <w:rPr>
          <w:rFonts w:ascii="Times New Roman" w:hAnsi="Times New Roman" w:cs="Times New Roman"/>
        </w:rPr>
        <w:t xml:space="preserve"> (Figure 4)</w:t>
      </w:r>
      <w:r>
        <w:rPr>
          <w:rFonts w:ascii="Times New Roman" w:hAnsi="Times New Roman" w:cs="Times New Roman"/>
        </w:rPr>
        <w:t xml:space="preserve">. As such, substantial caution is advised prior to using this model for </w:t>
      </w:r>
      <w:r w:rsidR="004E4688">
        <w:rPr>
          <w:rFonts w:ascii="Times New Roman" w:hAnsi="Times New Roman" w:cs="Times New Roman"/>
        </w:rPr>
        <w:t>making predictions regarding how CVP operations will impact salvage counts.</w:t>
      </w:r>
    </w:p>
    <w:p w14:paraId="18DA9301" w14:textId="77777777" w:rsidR="00AD74A0" w:rsidRDefault="00AD74A0">
      <w:pPr>
        <w:rPr>
          <w:rFonts w:ascii="Times New Roman" w:hAnsi="Times New Roman" w:cs="Times New Roman"/>
        </w:rPr>
      </w:pPr>
      <w:r w:rsidRPr="00AD74A0">
        <w:rPr>
          <w:rFonts w:ascii="Times New Roman" w:hAnsi="Times New Roman" w:cs="Times New Roman"/>
          <w:smallCaps/>
        </w:rPr>
        <w:lastRenderedPageBreak/>
        <w:t>References</w:t>
      </w:r>
    </w:p>
    <w:p w14:paraId="144639CC" w14:textId="77777777" w:rsidR="00AD74A0" w:rsidRDefault="00AD74A0" w:rsidP="00AD74A0">
      <w:pPr>
        <w:ind w:left="720" w:hanging="720"/>
        <w:rPr>
          <w:rFonts w:ascii="Times New Roman" w:hAnsi="Times New Roman" w:cs="Times New Roman"/>
        </w:rPr>
      </w:pPr>
      <w:r w:rsidRPr="00AD74A0">
        <w:rPr>
          <w:rFonts w:ascii="Times New Roman" w:hAnsi="Times New Roman" w:cs="Times New Roman"/>
        </w:rPr>
        <w:t>Akaike, H. 1974. A new look at the statistical model identification. IEEE Transactions on</w:t>
      </w:r>
      <w:r>
        <w:rPr>
          <w:rFonts w:ascii="Times New Roman" w:hAnsi="Times New Roman" w:cs="Times New Roman"/>
        </w:rPr>
        <w:t xml:space="preserve"> </w:t>
      </w:r>
      <w:r w:rsidRPr="00AD74A0">
        <w:rPr>
          <w:rFonts w:ascii="Times New Roman" w:hAnsi="Times New Roman" w:cs="Times New Roman"/>
        </w:rPr>
        <w:t>Automatic Control 19:716–723.</w:t>
      </w:r>
    </w:p>
    <w:p w14:paraId="652415EF" w14:textId="77777777" w:rsidR="00AD74A0" w:rsidRPr="003C31DF" w:rsidRDefault="00AD74A0" w:rsidP="00AD74A0">
      <w:pPr>
        <w:ind w:left="720" w:hanging="720"/>
        <w:rPr>
          <w:rFonts w:ascii="Times New Roman" w:hAnsi="Times New Roman" w:cs="Times New Roman"/>
        </w:rPr>
      </w:pPr>
      <w:r w:rsidRPr="00AD74A0">
        <w:rPr>
          <w:rFonts w:ascii="Times New Roman" w:hAnsi="Times New Roman" w:cs="Times New Roman"/>
        </w:rPr>
        <w:t xml:space="preserve">Burnham, K. P., and D. R. Anderson. 2002. Model selection and </w:t>
      </w:r>
      <w:proofErr w:type="spellStart"/>
      <w:r w:rsidRPr="00AD74A0">
        <w:rPr>
          <w:rFonts w:ascii="Times New Roman" w:hAnsi="Times New Roman" w:cs="Times New Roman"/>
        </w:rPr>
        <w:t>multimodel</w:t>
      </w:r>
      <w:proofErr w:type="spellEnd"/>
      <w:r w:rsidRPr="00AD74A0">
        <w:rPr>
          <w:rFonts w:ascii="Times New Roman" w:hAnsi="Times New Roman" w:cs="Times New Roman"/>
        </w:rPr>
        <w:t xml:space="preserve"> inference: a</w:t>
      </w:r>
      <w:r>
        <w:rPr>
          <w:rFonts w:ascii="Times New Roman" w:hAnsi="Times New Roman" w:cs="Times New Roman"/>
        </w:rPr>
        <w:t xml:space="preserve"> </w:t>
      </w:r>
      <w:r w:rsidRPr="00AD74A0">
        <w:rPr>
          <w:rFonts w:ascii="Times New Roman" w:hAnsi="Times New Roman" w:cs="Times New Roman"/>
        </w:rPr>
        <w:t>practical-theoretic approach. 2nd edition. Springer-Verlag, New York.</w:t>
      </w:r>
    </w:p>
    <w:sectPr w:rsidR="00AD74A0" w:rsidRPr="003C31D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6FB8" w14:textId="77777777" w:rsidR="000E4AC6" w:rsidRDefault="000E4AC6" w:rsidP="003A5ADF">
      <w:pPr>
        <w:spacing w:after="0" w:line="240" w:lineRule="auto"/>
      </w:pPr>
      <w:r>
        <w:separator/>
      </w:r>
    </w:p>
  </w:endnote>
  <w:endnote w:type="continuationSeparator" w:id="0">
    <w:p w14:paraId="465625B6" w14:textId="77777777" w:rsidR="000E4AC6" w:rsidRDefault="000E4AC6" w:rsidP="003A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3D54B" w14:textId="77777777" w:rsidR="003A5ADF" w:rsidRDefault="003A5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04AD0" w14:textId="77777777" w:rsidR="003A5ADF" w:rsidRDefault="003A5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0BE26" w14:textId="77777777" w:rsidR="003A5ADF" w:rsidRDefault="003A5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8A13" w14:textId="77777777" w:rsidR="000E4AC6" w:rsidRDefault="000E4AC6" w:rsidP="003A5ADF">
      <w:pPr>
        <w:spacing w:after="0" w:line="240" w:lineRule="auto"/>
      </w:pPr>
      <w:r>
        <w:separator/>
      </w:r>
    </w:p>
  </w:footnote>
  <w:footnote w:type="continuationSeparator" w:id="0">
    <w:p w14:paraId="02CBD261" w14:textId="77777777" w:rsidR="000E4AC6" w:rsidRDefault="000E4AC6" w:rsidP="003A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6442" w14:textId="4CC87B89" w:rsidR="003A5ADF" w:rsidRDefault="003A5ADF">
    <w:pPr>
      <w:pStyle w:val="Header"/>
    </w:pPr>
    <w:r>
      <w:rPr>
        <w:noProof/>
      </w:rPr>
      <w:pict w14:anchorId="463DD2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54876" o:spid="_x0000_s2050"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C6856" w14:textId="244C79FD" w:rsidR="003A5ADF" w:rsidRDefault="003A5ADF">
    <w:pPr>
      <w:pStyle w:val="Header"/>
    </w:pPr>
    <w:r>
      <w:rPr>
        <w:noProof/>
      </w:rPr>
      <w:pict w14:anchorId="12DC30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54877"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000D7" w14:textId="319511E7" w:rsidR="003A5ADF" w:rsidRDefault="003A5ADF">
    <w:pPr>
      <w:pStyle w:val="Header"/>
    </w:pPr>
    <w:r>
      <w:rPr>
        <w:noProof/>
      </w:rPr>
      <w:pict w14:anchorId="75E01B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54875"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BB"/>
    <w:rsid w:val="00056640"/>
    <w:rsid w:val="00080ADA"/>
    <w:rsid w:val="000A4B29"/>
    <w:rsid w:val="000E4AC6"/>
    <w:rsid w:val="00120D97"/>
    <w:rsid w:val="001452AC"/>
    <w:rsid w:val="001B387F"/>
    <w:rsid w:val="002A30A5"/>
    <w:rsid w:val="002D5239"/>
    <w:rsid w:val="002D6784"/>
    <w:rsid w:val="002E0A98"/>
    <w:rsid w:val="00307278"/>
    <w:rsid w:val="0038034D"/>
    <w:rsid w:val="00391449"/>
    <w:rsid w:val="003A5ADF"/>
    <w:rsid w:val="003C0FFD"/>
    <w:rsid w:val="003C31DF"/>
    <w:rsid w:val="004207D8"/>
    <w:rsid w:val="004B5DB8"/>
    <w:rsid w:val="004C555C"/>
    <w:rsid w:val="004E4688"/>
    <w:rsid w:val="00543B6E"/>
    <w:rsid w:val="005A0407"/>
    <w:rsid w:val="005D3CC7"/>
    <w:rsid w:val="006B3A68"/>
    <w:rsid w:val="007B4DE2"/>
    <w:rsid w:val="00907680"/>
    <w:rsid w:val="0096586F"/>
    <w:rsid w:val="009748C9"/>
    <w:rsid w:val="009968B2"/>
    <w:rsid w:val="009E1DC5"/>
    <w:rsid w:val="00A03CFE"/>
    <w:rsid w:val="00A061FA"/>
    <w:rsid w:val="00A13537"/>
    <w:rsid w:val="00A60A73"/>
    <w:rsid w:val="00AA4ABB"/>
    <w:rsid w:val="00AD74A0"/>
    <w:rsid w:val="00B14BAB"/>
    <w:rsid w:val="00B5547B"/>
    <w:rsid w:val="00BF5434"/>
    <w:rsid w:val="00C03236"/>
    <w:rsid w:val="00CC4D14"/>
    <w:rsid w:val="00CD79AF"/>
    <w:rsid w:val="00D06497"/>
    <w:rsid w:val="00D462F4"/>
    <w:rsid w:val="00DB3374"/>
    <w:rsid w:val="00DE2034"/>
    <w:rsid w:val="00E9096D"/>
    <w:rsid w:val="00F27A3A"/>
    <w:rsid w:val="00FB6D79"/>
    <w:rsid w:val="00FC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9C1BC1"/>
  <w15:chartTrackingRefBased/>
  <w15:docId w15:val="{239B6C96-6FD4-4D4F-B88C-130D4BB3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3537"/>
    <w:rPr>
      <w:color w:val="0563C1" w:themeColor="hyperlink"/>
      <w:u w:val="single"/>
    </w:rPr>
  </w:style>
  <w:style w:type="character" w:styleId="UnresolvedMention">
    <w:name w:val="Unresolved Mention"/>
    <w:basedOn w:val="DefaultParagraphFont"/>
    <w:uiPriority w:val="99"/>
    <w:semiHidden/>
    <w:unhideWhenUsed/>
    <w:rsid w:val="00A13537"/>
    <w:rPr>
      <w:color w:val="605E5C"/>
      <w:shd w:val="clear" w:color="auto" w:fill="E1DFDD"/>
    </w:rPr>
  </w:style>
  <w:style w:type="paragraph" w:styleId="Header">
    <w:name w:val="header"/>
    <w:basedOn w:val="Normal"/>
    <w:link w:val="HeaderChar"/>
    <w:uiPriority w:val="99"/>
    <w:unhideWhenUsed/>
    <w:rsid w:val="003A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ADF"/>
  </w:style>
  <w:style w:type="paragraph" w:styleId="Footer">
    <w:name w:val="footer"/>
    <w:basedOn w:val="Normal"/>
    <w:link w:val="FooterChar"/>
    <w:uiPriority w:val="99"/>
    <w:unhideWhenUsed/>
    <w:rsid w:val="003A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73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data.usgs.gov/usa/nwis/uv?site_no=1142550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C39A0-18B7-485A-85E3-0EBD4072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Beakes</dc:creator>
  <cp:keywords/>
  <dc:description/>
  <cp:lastModifiedBy>Michael  Beakes</cp:lastModifiedBy>
  <cp:revision>19</cp:revision>
  <cp:lastPrinted>2019-06-27T21:32:00Z</cp:lastPrinted>
  <dcterms:created xsi:type="dcterms:W3CDTF">2019-06-20T17:23:00Z</dcterms:created>
  <dcterms:modified xsi:type="dcterms:W3CDTF">2019-06-27T21:34:00Z</dcterms:modified>
</cp:coreProperties>
</file>