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25.png" ContentType="image/png"/>
  <Override PartName="/word/media/rId5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March 17, 2026</w:t>
      </w:r>
    </w:p>
    <w:bookmarkStart w:id="20" w:name="executive-summary"/>
    <w:p>
      <w:pPr>
        <w:pStyle w:val="Heading3"/>
      </w:pPr>
      <w:r>
        <w:t xml:space="preserve">Executive Summary</w:t>
      </w:r>
    </w:p>
    <w:p>
      <w:pPr>
        <w:pStyle w:val="Compact"/>
        <w:numPr>
          <w:ilvl w:val="0"/>
          <w:numId w:val="1001"/>
        </w:numPr>
      </w:pPr>
      <w:r>
        <w:t xml:space="preserve">Delta smelt were most recently detected at Suisun Marsh.</w:t>
      </w:r>
    </w:p>
    <w:p>
      <w:pPr>
        <w:pStyle w:val="Compact"/>
        <w:numPr>
          <w:ilvl w:val="0"/>
          <w:numId w:val="1001"/>
        </w:numPr>
      </w:pPr>
      <w:r>
        <w:t xml:space="preserve">One Delta smelt was salvaged on 3/6/26, expanded salvage is 4 for this water year.</w:t>
      </w:r>
    </w:p>
    <w:p>
      <w:pPr>
        <w:pStyle w:val="Compact"/>
        <w:numPr>
          <w:ilvl w:val="0"/>
          <w:numId w:val="1001"/>
        </w:numPr>
      </w:pPr>
      <w:r>
        <w:t xml:space="preserve">No longfin smelt salvage has been observed this water year.</w:t>
      </w:r>
    </w:p>
    <w:p>
      <w:pPr>
        <w:pStyle w:val="Compact"/>
        <w:numPr>
          <w:ilvl w:val="0"/>
          <w:numId w:val="1001"/>
        </w:numPr>
      </w:pPr>
      <w:r>
        <w:t xml:space="preserve">Turbidity in the central/south Delta is low to moderate.</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3"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w:t>
      </w:r>
    </w:p>
    <w:p>
      <w:pPr>
        <w:numPr>
          <w:ilvl w:val="0"/>
          <w:numId w:val="1003"/>
        </w:numPr>
      </w:pPr>
      <w:r>
        <w:rPr>
          <w:b/>
          <w:bCs/>
        </w:rPr>
        <w:t xml:space="preserve">Abundance estimate:</w:t>
      </w:r>
      <w:r>
        <w:t xml:space="preserve"> </w:t>
      </w:r>
      <w:r>
        <w:t xml:space="preserve">2004 (95% CL: 170 to 8,647) as of the week of March 9–13,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42 adult Delta smelt and 30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1 Delta smelt has been salvaged, and the cumulative seasonal salvage is 4.</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2026-03-09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salvage</w:t>
                  </w:r>
                </w:p>
              </w:tc>
              <w:tc>
                <w:tcPr/>
                <w:p>
                  <w:pPr>
                    <w:pStyle w:val="Compact"/>
                    <w:jc w:val="left"/>
                    <w:jc w:val="center"/>
                  </w:pPr>
                  <w:r>
                    <w:t xml:space="preserve">2026-03-06</w:t>
                  </w:r>
                </w:p>
              </w:tc>
              <w:tc>
                <w:tcPr/>
                <w:p>
                  <w:pPr>
                    <w:pStyle w:val="Compact"/>
                    <w:jc w:val="left"/>
                    <w:jc w:val="center"/>
                  </w:pPr>
                  <w:r>
                    <w:t xml:space="preserve">South</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943600" cy="52006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38</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29</w:t>
                  </w:r>
                </w:p>
              </w:tc>
            </w:tr>
            <w:tr>
              <w:tc>
                <w:tcPr/>
                <w:p>
                  <w:pPr>
                    <w:pStyle w:val="Compact"/>
                    <w:jc w:val="left"/>
                    <w:jc w:val="center"/>
                  </w:pPr>
                  <w:r>
                    <w:t xml:space="preserve">salvage</w:t>
                  </w:r>
                </w:p>
              </w:tc>
              <w:tc>
                <w:tcPr/>
                <w:p>
                  <w:pPr>
                    <w:pStyle w:val="Compact"/>
                    <w:jc w:val="left"/>
                    <w:jc w:val="center"/>
                  </w:pPr>
                  <w:r>
                    <w:t xml:space="preserve">South</w:t>
                  </w:r>
                </w:p>
              </w:tc>
              <w:tc>
                <w:tcPr/>
                <w:p>
                  <w:pPr>
                    <w:pStyle w:val="Compact"/>
                    <w:jc w:val="left"/>
                    <w:jc w:val="center"/>
                  </w:pPr>
                  <w:r>
                    <w:t xml:space="preserve">Adult</w:t>
                  </w:r>
                </w:p>
              </w:tc>
              <w:tc>
                <w:tcPr/>
                <w:p>
                  <w:pPr>
                    <w:pStyle w:val="Compact"/>
                    <w:jc w:val="right"/>
                    <w:jc w:val="center"/>
                  </w:pPr>
                  <w:r>
                    <w:t xml:space="preserve">1</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Implemented 12/25/25-01/7/26</w:t>
      </w:r>
    </w:p>
    <w:bookmarkEnd w:id="35"/>
    <w:bookmarkEnd w:id="36"/>
    <w:bookmarkStart w:id="40" w:name="real-time-assessment-thresholds"/>
    <w:p>
      <w:pPr>
        <w:pStyle w:val="Heading4"/>
      </w:pPr>
      <w:r>
        <w:t xml:space="preserve">Real-time Assessment Thresholds</w:t>
      </w:r>
    </w:p>
    <w:bookmarkStart w:id="38" w:name="adult-delta-smelt"/>
    <w:p>
      <w:pPr>
        <w:pStyle w:val="Heading5"/>
      </w:pPr>
      <w:r>
        <w:t xml:space="preserve">Adult Delta smelt</w:t>
      </w:r>
    </w:p>
    <w:p>
      <w:pPr>
        <w:numPr>
          <w:ilvl w:val="0"/>
          <w:numId w:val="1006"/>
        </w:numPr>
      </w:pPr>
      <w:r>
        <w:t xml:space="preserve">Adult Delta smelt action offramped on 02/12/2026</w:t>
      </w:r>
    </w:p>
    <w:p>
      <w:pPr>
        <w:numPr>
          <w:ilvl w:val="0"/>
          <w:numId w:val="1006"/>
        </w:numPr>
      </w:pPr>
      <w:r>
        <w:t xml:space="preserve">No adult Delta smelt action was taken in WY26</w:t>
      </w:r>
    </w:p>
    <w:p>
      <w:pPr>
        <w:pStyle w:val="Compact"/>
        <w:numPr>
          <w:ilvl w:val="0"/>
          <w:numId w:val="1007"/>
        </w:numPr>
      </w:pPr>
      <w:r>
        <w:t xml:space="preserve">See</w:t>
      </w:r>
      <w:r>
        <w:t xml:space="preserve"> </w:t>
      </w:r>
      <w:hyperlink r:id="rId37">
        <w:r>
          <w:rPr>
            <w:rStyle w:val="Hyperlink"/>
          </w:rPr>
          <w:t xml:space="preserve">Bay-Delta Live</w:t>
        </w:r>
      </w:hyperlink>
      <w:r>
        <w:t xml:space="preserve"> </w:t>
      </w:r>
      <w:r>
        <w:t xml:space="preserve">for recent Delta-wide turbidity conditions.</w:t>
      </w:r>
      <w:r>
        <w:t xml:space="preserve"> </w:t>
      </w:r>
    </w:p>
    <w:bookmarkEnd w:id="38"/>
    <w:bookmarkStart w:id="39"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8"/>
        </w:numPr>
      </w:pPr>
      <w:r>
        <w:rPr>
          <w:b/>
          <w:bCs/>
        </w:rPr>
        <w:t xml:space="preserve">12-station South Delta Turbidity</w:t>
      </w:r>
      <w:r>
        <w:t xml:space="preserve">: The most recent average turbidity was 11.2 FNU as of Mar 09, 2026</w:t>
      </w:r>
    </w:p>
    <w:bookmarkEnd w:id="39"/>
    <w:bookmarkEnd w:id="40"/>
    <w:bookmarkStart w:id="42" w:name="evaluation"/>
    <w:p>
      <w:pPr>
        <w:pStyle w:val="Heading4"/>
      </w:pPr>
      <w:r>
        <w:t xml:space="preserve">Evaluation</w:t>
      </w:r>
    </w:p>
    <w:p>
      <w:pPr>
        <w:pStyle w:val="FirstParagraph"/>
      </w:pPr>
      <w:r>
        <w:rPr>
          <w:b/>
          <w:bCs/>
        </w:rPr>
        <w:t xml:space="preserve">Delta smelt:</w:t>
      </w:r>
    </w:p>
    <w:p>
      <w:pPr>
        <w:numPr>
          <w:ilvl w:val="0"/>
          <w:numId w:val="1009"/>
        </w:numPr>
      </w:pPr>
      <w:r>
        <w:t xml:space="preserve">After the start of entrainment management, is JPF &lt; 0, is daily average turbidity ≥ 12 FNU in the OMR corridor (stations OBI, HOL, and OSJ)? 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The adult Delta smelt entrainment action is not active and no action was taken in WY26.</w:t>
      </w:r>
      <w:r>
        <w:t xml:space="preserve"> </w:t>
      </w:r>
      <w:r>
        <w:t xml:space="preserve">Temperature at Jersey Point exceeded the threshold on February 12th, 2025. Jersey</w:t>
      </w:r>
      <w:r>
        <w:t xml:space="preserve"> </w:t>
      </w:r>
      <w:r>
        <w:t xml:space="preserve">Point 3-day average temperature was 12.05°C on February 10th, 12.09°C on February 11th,</w:t>
      </w:r>
      <w:r>
        <w:t xml:space="preserve"> </w:t>
      </w:r>
      <w:r>
        <w:t xml:space="preserve">and 12.13°C on February 12th.</w:t>
      </w:r>
    </w:p>
    <w:p>
      <w:pPr>
        <w:numPr>
          <w:ilvl w:val="0"/>
          <w:numId w:val="1009"/>
        </w:numPr>
      </w:pPr>
      <w:r>
        <w:t xml:space="preserve">What is the evidence for the onset of Delta smelt spawning?</w:t>
      </w:r>
    </w:p>
    <w:p>
      <w:pPr>
        <w:numPr>
          <w:ilvl w:val="0"/>
          <w:numId w:val="1000"/>
        </w:numPr>
      </w:pPr>
      <w:r>
        <w:t xml:space="preserve">Upstream migration for Delta smelt occurs between December and March and in response</w:t>
      </w:r>
      <w:r>
        <w:t xml:space="preserve"> </w:t>
      </w:r>
      <w:r>
        <w:t xml:space="preserve">to</w:t>
      </w:r>
      <w:r>
        <w:t xml:space="preserve"> </w:t>
      </w:r>
      <w:r>
        <w:t xml:space="preserve">“first flush”</w:t>
      </w:r>
      <w:r>
        <w:t xml:space="preserve"> </w:t>
      </w:r>
      <w:r>
        <w:t xml:space="preserve">conditions (Sommer et al., 2011; Grimaldo et al. 2009; 2021). Historically, detections</w:t>
      </w:r>
      <w:r>
        <w:t xml:space="preserve"> </w:t>
      </w:r>
      <w:r>
        <w:t xml:space="preserve">of ripe Delta smelt began in January and peaked in February and March and</w:t>
      </w:r>
      <w:r>
        <w:t xml:space="preserve"> </w:t>
      </w:r>
      <w:r>
        <w:t xml:space="preserve">the majority of Delta Smelt spawning occurs at 11-15˚C (but can occur from 8-18˚C) (Damon et al. 2016).</w:t>
      </w:r>
      <w:r>
        <w:t xml:space="preserve"> </w:t>
      </w:r>
      <w:r>
        <w:t xml:space="preserve">Based on</w:t>
      </w:r>
      <w:r>
        <w:t xml:space="preserve"> </w:t>
      </w:r>
      <w:hyperlink r:id="rId41">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The large majority of Delta smelt recaptures continue to be from Suisun Marsh, close to</w:t>
      </w:r>
      <w:r>
        <w:t xml:space="preserve"> </w:t>
      </w:r>
      <w:r>
        <w:t xml:space="preserve">where supplemental fish were released in the fall.</w:t>
      </w:r>
    </w:p>
    <w:p>
      <w:pPr>
        <w:numPr>
          <w:ilvl w:val="0"/>
          <w:numId w:val="1009"/>
        </w:numPr>
      </w:pPr>
      <w:r>
        <w:t xml:space="preserve">After the onset of spawning, have the following conditions occurred: JPF &lt; 0 cfs, average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Although spawning may be occurring, JPF is above 0 cfs. SLS 5 was on the</w:t>
      </w:r>
      <w:r>
        <w:t xml:space="preserve"> </w:t>
      </w:r>
      <w:r>
        <w:t xml:space="preserve">water last week, and the most recent 12 station average turbidity in the south</w:t>
      </w:r>
      <w:r>
        <w:t xml:space="preserve"> </w:t>
      </w:r>
      <w:r>
        <w:t xml:space="preserve">delta was 12.5 FNU on 2/23/26. Due to JPF &gt; 0 this week, the conditions required to trigger larval and</w:t>
      </w:r>
      <w:r>
        <w:t xml:space="preserve"> </w:t>
      </w:r>
      <w:r>
        <w:t xml:space="preserve">juvenile Delta smelt entrainment management will not be met.</w:t>
      </w:r>
    </w:p>
    <w:p>
      <w:pPr>
        <w:pStyle w:val="FirstParagraph"/>
      </w:pPr>
      <w:r>
        <w:t xml:space="preserve">No Delta smelt larvae have been captured in SLS surveys in WY26 to date. PTM results</w:t>
      </w:r>
      <w:r>
        <w:t xml:space="preserve"> </w:t>
      </w:r>
      <w:r>
        <w:t xml:space="preserve">for this week for neutrally buoyant particles injected at Chipps Island (most recent adult detections used as a proxy</w:t>
      </w:r>
      <w:r>
        <w:t xml:space="preserve"> </w:t>
      </w:r>
      <w:r>
        <w:t xml:space="preserve">for potential larval locations) showed 0% particle entrainment at both facilities for all OMRI levels</w:t>
      </w:r>
      <w:r>
        <w:t xml:space="preserve"> </w:t>
      </w:r>
      <w:r>
        <w:t xml:space="preserve">(−6,500, −5,000, −3,500, and −2,000 cfs). These results indicate that if Delta</w:t>
      </w:r>
      <w:r>
        <w:t xml:space="preserve"> </w:t>
      </w:r>
      <w:r>
        <w:t xml:space="preserve">smelt larvae were present, the risk of entrainment is low.</w:t>
      </w:r>
    </w:p>
    <w:bookmarkEnd w:id="42"/>
    <w:bookmarkEnd w:id="43"/>
    <w:bookmarkStart w:id="60" w:name="longfin-smelt"/>
    <w:p>
      <w:pPr>
        <w:pStyle w:val="Heading3"/>
      </w:pPr>
      <w:r>
        <w:t xml:space="preserve">Longfin smelt</w:t>
      </w:r>
    </w:p>
    <w:bookmarkStart w:id="54" w:name="biological-1"/>
    <w:p>
      <w:pPr>
        <w:pStyle w:val="Heading4"/>
      </w:pPr>
      <w:r>
        <w:t xml:space="preserve">Biological</w:t>
      </w:r>
    </w:p>
    <w:p>
      <w:pPr>
        <w:numPr>
          <w:ilvl w:val="0"/>
          <w:numId w:val="1010"/>
        </w:numPr>
      </w:pPr>
      <w:r>
        <w:rPr>
          <w:b/>
          <w:bCs/>
        </w:rPr>
        <w:t xml:space="preserve">Longfin smelt life stages:</w:t>
      </w:r>
      <w:r>
        <w:t xml:space="preserve"> </w:t>
      </w:r>
      <w:r>
        <w:t xml:space="preserve">Adult, Juvenile, Larva</w:t>
      </w:r>
    </w:p>
    <w:p>
      <w:pPr>
        <w:numPr>
          <w:ilvl w:val="0"/>
          <w:numId w:val="1010"/>
        </w:numPr>
      </w:pPr>
      <w:r>
        <w:rPr>
          <w:b/>
          <w:bCs/>
        </w:rPr>
        <w:t xml:space="preserve">Longfin smelt count:</w:t>
      </w:r>
      <w:r>
        <w:t xml:space="preserve"> </w:t>
      </w:r>
      <w:r>
        <w:t xml:space="preserve">441 adult, 1023 juvenile, and 5446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pct" w:w="5000"/>
              <w:tblLayout w:type="fixed"/>
              <w:tblLook w:firstRow="1" w:lastRow="0" w:firstColumn="0" w:lastColumn="0" w:noHBand="0" w:noVBand="0" w:val="0020"/>
            </w:tblPr>
            <w:tblGrid>
              <w:gridCol w:w="770"/>
              <w:gridCol w:w="1210"/>
              <w:gridCol w:w="990"/>
              <w:gridCol w:w="3080"/>
              <w:gridCol w:w="1210"/>
              <w:gridCol w:w="66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2026-03-04</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DJFMP</w:t>
                  </w:r>
                </w:p>
              </w:tc>
              <w:tc>
                <w:tcPr/>
                <w:p>
                  <w:pPr>
                    <w:pStyle w:val="Compact"/>
                    <w:jc w:val="left"/>
                    <w:jc w:val="center"/>
                  </w:pPr>
                  <w:r>
                    <w:t xml:space="preserve">2026-03-04</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2026-03-05</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2026-03-05</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2026-03-08</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DJFMP</w:t>
                  </w:r>
                </w:p>
              </w:tc>
              <w:tc>
                <w:tcPr/>
                <w:p>
                  <w:pPr>
                    <w:pStyle w:val="Compact"/>
                    <w:jc w:val="left"/>
                    <w:jc w:val="center"/>
                  </w:pPr>
                  <w:r>
                    <w:t xml:space="preserve">2026-03-08</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DJFMP</w:t>
                  </w:r>
                </w:p>
              </w:tc>
              <w:tc>
                <w:tcPr/>
                <w:p>
                  <w:pPr>
                    <w:pStyle w:val="Compact"/>
                    <w:jc w:val="left"/>
                    <w:jc w:val="center"/>
                  </w:pPr>
                  <w:r>
                    <w:t xml:space="preserve">2026-03-09</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DJFMP</w:t>
                  </w:r>
                </w:p>
              </w:tc>
              <w:tc>
                <w:tcPr/>
                <w:p>
                  <w:pPr>
                    <w:pStyle w:val="Compact"/>
                    <w:jc w:val="left"/>
                    <w:jc w:val="center"/>
                  </w:pPr>
                  <w:r>
                    <w:t xml:space="preserve">2026-03-09</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DJFMP</w:t>
                  </w:r>
                </w:p>
              </w:tc>
              <w:tc>
                <w:tcPr/>
                <w:p>
                  <w:pPr>
                    <w:pStyle w:val="Compact"/>
                    <w:jc w:val="left"/>
                    <w:jc w:val="center"/>
                  </w:pPr>
                  <w:r>
                    <w:t xml:space="preserve">2026-03-10</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DJFMP</w:t>
                  </w:r>
                </w:p>
              </w:tc>
              <w:tc>
                <w:tcPr/>
                <w:p>
                  <w:pPr>
                    <w:pStyle w:val="Compact"/>
                    <w:jc w:val="left"/>
                    <w:jc w:val="center"/>
                  </w:pPr>
                  <w:r>
                    <w:t xml:space="preserve">2026-03-10</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DJFMP</w:t>
                  </w:r>
                </w:p>
              </w:tc>
              <w:tc>
                <w:tcPr/>
                <w:p>
                  <w:pPr>
                    <w:pStyle w:val="Compact"/>
                    <w:jc w:val="left"/>
                    <w:jc w:val="center"/>
                  </w:pPr>
                  <w:r>
                    <w:t xml:space="preserve">2026-03-12</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2026-03-12</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2026-03-05</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2026-03-05</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2026-03-09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2026-03-10</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sls</w:t>
                  </w:r>
                </w:p>
              </w:tc>
              <w:tc>
                <w:tcPr/>
                <w:p>
                  <w:pPr>
                    <w:pStyle w:val="Compact"/>
                    <w:jc w:val="left"/>
                    <w:jc w:val="center"/>
                  </w:pPr>
                  <w:r>
                    <w:t xml:space="preserve">2026-03-09</w:t>
                  </w:r>
                </w:p>
              </w:tc>
              <w:tc>
                <w:tcPr/>
                <w:p>
                  <w:pPr>
                    <w:pStyle w:val="Compact"/>
                    <w:jc w:val="left"/>
                    <w:jc w:val="center"/>
                  </w:pPr>
                  <w:r>
                    <w:t xml:space="preserve">South</w:t>
                  </w:r>
                </w:p>
              </w:tc>
              <w:tc>
                <w:tcPr/>
                <w:p>
                  <w:pPr>
                    <w:pStyle w:val="Compact"/>
                    <w:jc w:val="left"/>
                    <w:jc w:val="center"/>
                  </w:pPr>
                  <w:r>
                    <w:t xml:space="preserve">Lower San Joaquin</w:t>
                  </w:r>
                </w:p>
              </w:tc>
              <w:tc>
                <w:tcPr/>
                <w:p>
                  <w:pPr>
                    <w:pStyle w:val="Compact"/>
                    <w:jc w:val="left"/>
                    <w:jc w:val="center"/>
                  </w:pPr>
                  <w:r>
                    <w:t xml:space="preserve">Larva</w:t>
                  </w:r>
                </w:p>
              </w:tc>
              <w:tc>
                <w:tcPr/>
                <w:p>
                  <w:pPr>
                    <w:pStyle w:val="Compact"/>
                    <w:jc w:val="right"/>
                    <w:jc w:val="center"/>
                  </w:pPr>
                  <w:r>
                    <w:t xml:space="preserve">3</w:t>
                  </w:r>
                </w:p>
              </w:tc>
            </w:tr>
            <w:tr>
              <w:tc>
                <w:tcPr/>
                <w:p>
                  <w:pPr>
                    <w:pStyle w:val="Compact"/>
                    <w:jc w:val="left"/>
                    <w:jc w:val="center"/>
                  </w:pPr>
                  <w:r>
                    <w:t xml:space="preserve">sls</w:t>
                  </w:r>
                </w:p>
              </w:tc>
              <w:tc>
                <w:tcPr/>
                <w:p>
                  <w:pPr>
                    <w:pStyle w:val="Compact"/>
                    <w:jc w:val="left"/>
                    <w:jc w:val="center"/>
                  </w:pPr>
                  <w:r>
                    <w:t xml:space="preserve">2026-03-09</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Larva</w:t>
                  </w:r>
                </w:p>
              </w:tc>
              <w:tc>
                <w:tcPr/>
                <w:p>
                  <w:pPr>
                    <w:pStyle w:val="Compact"/>
                    <w:jc w:val="right"/>
                    <w:jc w:val="center"/>
                  </w:pPr>
                  <w:r>
                    <w:t xml:space="preserve">7</w:t>
                  </w:r>
                </w:p>
              </w:tc>
            </w:tr>
            <w:tr>
              <w:tc>
                <w:tcPr/>
                <w:p>
                  <w:pPr>
                    <w:pStyle w:val="Compact"/>
                    <w:jc w:val="left"/>
                    <w:jc w:val="center"/>
                  </w:pPr>
                  <w:r>
                    <w:t xml:space="preserve">sls</w:t>
                  </w:r>
                </w:p>
              </w:tc>
              <w:tc>
                <w:tcPr/>
                <w:p>
                  <w:pPr>
                    <w:pStyle w:val="Compact"/>
                    <w:jc w:val="left"/>
                    <w:jc w:val="center"/>
                  </w:pPr>
                  <w:r>
                    <w:t xml:space="preserve">2026-03-10</w:t>
                  </w:r>
                </w:p>
              </w:tc>
              <w:tc>
                <w:tcPr/>
                <w:p>
                  <w:pPr>
                    <w:pStyle w:val="Compact"/>
                    <w:jc w:val="left"/>
                    <w:jc w:val="center"/>
                  </w:pPr>
                  <w:r>
                    <w:t xml:space="preserve">North</w:t>
                  </w:r>
                </w:p>
              </w:tc>
              <w:tc>
                <w:tcPr/>
                <w:p>
                  <w:pPr>
                    <w:pStyle w:val="Compact"/>
                    <w:jc w:val="left"/>
                    <w:jc w:val="center"/>
                  </w:pPr>
                  <w:r>
                    <w:t xml:space="preserve">Cache Slough/Liberty Island</w:t>
                  </w:r>
                </w:p>
              </w:tc>
              <w:tc>
                <w:tcPr/>
                <w:p>
                  <w:pPr>
                    <w:pStyle w:val="Compact"/>
                    <w:jc w:val="left"/>
                    <w:jc w:val="center"/>
                  </w:pPr>
                  <w:r>
                    <w:t xml:space="preserve">Larva</w:t>
                  </w:r>
                </w:p>
              </w:tc>
              <w:tc>
                <w:tcPr/>
                <w:p>
                  <w:pPr>
                    <w:pStyle w:val="Compact"/>
                    <w:jc w:val="right"/>
                    <w:jc w:val="center"/>
                  </w:pPr>
                  <w:r>
                    <w:t xml:space="preserve">1</w:t>
                  </w:r>
                </w:p>
              </w:tc>
            </w:tr>
          </w:tbl>
          <w:bookmarkEnd w:id="44"/>
          <w:p/>
        </w:tc>
      </w:tr>
    </w:tbl>
    <w:tbl>
      <w:tblPr>
        <w:tblStyle w:val="Table"/>
        <w:tblW w:type="pct" w:w="5000"/>
        <w:tblLayout w:type="fixed"/>
        <w:tblLook w:firstRow="0" w:lastRow="0" w:firstColumn="0" w:lastColumn="0" w:noHBand="0" w:noVBand="0" w:val="0000"/>
      </w:tblPr>
      <w:tblGrid>
        <w:gridCol w:w="7920"/>
      </w:tblGrid>
      <w:tr>
        <w:tc>
          <w:tcPr/>
          <w:bookmarkStart w:id="48" w:name="fig-lfs-map"/>
          <w:p>
            <w:pPr>
              <w:pStyle w:val="Compact"/>
              <w:jc w:val="center"/>
            </w:pPr>
            <w:r>
              <w:drawing>
                <wp:inline>
                  <wp:extent cx="5943600" cy="5200649"/>
                  <wp:effectExtent b="0" l="0" r="0" t="0"/>
                  <wp:docPr descr="" title="" id="46" name="Picture"/>
                  <a:graphic>
                    <a:graphicData uri="http://schemas.openxmlformats.org/drawingml/2006/picture">
                      <pic:pic>
                        <pic:nvPicPr>
                          <pic:cNvPr descr="smt-assessment-v1_files/figure-docx/fig-lfs-map-1.png" id="47" name="Picture"/>
                          <pic:cNvPicPr>
                            <a:picLocks noChangeArrowheads="1" noChangeAspect="1"/>
                          </pic:cNvPicPr>
                        </pic:nvPicPr>
                        <pic:blipFill>
                          <a:blip r:embed="rId4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48"/>
        </w:tc>
      </w:tr>
    </w:tbl>
    <w:tbl>
      <w:tblPr>
        <w:tblStyle w:val="Table"/>
        <w:tblW w:type="pct" w:w="5000"/>
        <w:tblLayout w:type="fixed"/>
        <w:tblLook w:firstRow="0" w:lastRow="0" w:firstColumn="0" w:lastColumn="0" w:noHBand="0" w:noVBand="0" w:val="0000"/>
      </w:tblPr>
      <w:tblGrid>
        <w:gridCol w:w="7920"/>
      </w:tblGrid>
      <w:tr>
        <w:tc>
          <w:tcPr/>
          <w:bookmarkStart w:id="49"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267</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31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23</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92</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82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200</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18</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28</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39</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551</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13</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56</w:t>
                  </w:r>
                </w:p>
              </w:tc>
            </w:tr>
            <w:tr>
              <w:tc>
                <w:tcPr/>
                <w:p>
                  <w:pPr>
                    <w:pStyle w:val="Compact"/>
                    <w:jc w:val="left"/>
                    <w:jc w:val="center"/>
                  </w:pPr>
                  <w:r>
                    <w:t xml:space="preserve">baystudy</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sls</w:t>
                  </w:r>
                </w:p>
              </w:tc>
              <w:tc>
                <w:tcPr/>
                <w:p>
                  <w:pPr>
                    <w:pStyle w:val="Compact"/>
                    <w:jc w:val="left"/>
                    <w:jc w:val="center"/>
                  </w:pPr>
                  <w:r>
                    <w:t xml:space="preserve">Bay</w:t>
                  </w:r>
                </w:p>
              </w:tc>
              <w:tc>
                <w:tcPr/>
                <w:p>
                  <w:pPr>
                    <w:pStyle w:val="Compact"/>
                    <w:jc w:val="left"/>
                    <w:jc w:val="center"/>
                  </w:pPr>
                  <w:r>
                    <w:t xml:space="preserve">Larva</w:t>
                  </w:r>
                </w:p>
              </w:tc>
              <w:tc>
                <w:tcPr/>
                <w:p>
                  <w:pPr>
                    <w:pStyle w:val="Compact"/>
                    <w:jc w:val="right"/>
                    <w:jc w:val="center"/>
                  </w:pPr>
                  <w:r>
                    <w:t xml:space="preserve">300</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2654</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89</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52</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2197</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Larva</w:t>
                  </w:r>
                </w:p>
              </w:tc>
              <w:tc>
                <w:tcPr/>
                <w:p>
                  <w:pPr>
                    <w:pStyle w:val="Compact"/>
                    <w:jc w:val="right"/>
                    <w:jc w:val="center"/>
                  </w:pPr>
                  <w:r>
                    <w:t xml:space="preserve">154</w:t>
                  </w:r>
                </w:p>
              </w:tc>
            </w:tr>
          </w:tbl>
          <w:bookmarkEnd w:id="49"/>
          <w:p/>
        </w:tc>
      </w:tr>
    </w:tbl>
    <w:tbl>
      <w:tblPr>
        <w:tblStyle w:val="Table"/>
        <w:tblW w:type="pct" w:w="5000"/>
        <w:tblLayout w:type="fixed"/>
        <w:tblLook w:firstRow="0" w:lastRow="0" w:firstColumn="0" w:lastColumn="0" w:noHBand="0" w:noVBand="0" w:val="0000"/>
      </w:tblPr>
      <w:tblGrid>
        <w:gridCol w:w="7920"/>
      </w:tblGrid>
      <w:tr>
        <w:tc>
          <w:tcPr/>
          <w:bookmarkStart w:id="53" w:name="fig-lfs-catch"/>
          <w:p>
            <w:pPr>
              <w:pStyle w:val="Compact"/>
              <w:jc w:val="center"/>
            </w:pPr>
            <w:r>
              <w:drawing>
                <wp:inline>
                  <wp:extent cx="4576576" cy="3661261"/>
                  <wp:effectExtent b="0" l="0" r="0" t="0"/>
                  <wp:docPr descr="" title="" id="51" name="Picture"/>
                  <a:graphic>
                    <a:graphicData uri="http://schemas.openxmlformats.org/drawingml/2006/picture">
                      <pic:pic>
                        <pic:nvPicPr>
                          <pic:cNvPr descr="smt-assessment-v1_files/figure-docx/fig-lfs-catch-1.png" id="52" name="Picture"/>
                          <pic:cNvPicPr>
                            <a:picLocks noChangeArrowheads="1" noChangeAspect="1"/>
                          </pic:cNvPicPr>
                        </pic:nvPicPr>
                        <pic:blipFill>
                          <a:blip r:embed="rId5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3"/>
        </w:tc>
      </w:tr>
    </w:tbl>
    <w:bookmarkEnd w:id="54"/>
    <w:bookmarkStart w:id="58" w:name="real-time-assessment-thresholds-1"/>
    <w:p>
      <w:pPr>
        <w:pStyle w:val="Heading4"/>
      </w:pPr>
      <w:r>
        <w:t xml:space="preserve">Real-time Assessment Thresholds</w:t>
      </w:r>
    </w:p>
    <w:bookmarkStart w:id="55" w:name="X20cb4fe57c6f57bc33c1a6af910e71e88796402"/>
    <w:p>
      <w:pPr>
        <w:pStyle w:val="Heading5"/>
      </w:pPr>
      <w:r>
        <w:t xml:space="preserve">Start of Entrainment Management (Adult Longfin Smelt)</w:t>
      </w:r>
    </w:p>
    <w:p>
      <w:pPr>
        <w:pStyle w:val="Compact"/>
        <w:numPr>
          <w:ilvl w:val="0"/>
          <w:numId w:val="1011"/>
        </w:numPr>
      </w:pPr>
      <w:r>
        <w:t xml:space="preserve">This action was not taken in WY26</w:t>
      </w:r>
    </w:p>
    <w:bookmarkEnd w:id="55"/>
    <w:bookmarkStart w:id="56" w:name="adult-longfin-smelt"/>
    <w:p>
      <w:pPr>
        <w:pStyle w:val="Heading5"/>
      </w:pPr>
      <w:r>
        <w:t xml:space="preserve">Adult longfin smelt</w:t>
      </w:r>
    </w:p>
    <w:p>
      <w:pPr>
        <w:pStyle w:val="Compact"/>
        <w:numPr>
          <w:ilvl w:val="0"/>
          <w:numId w:val="1012"/>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3"/>
        </w:numPr>
      </w:pPr>
      <w:r>
        <w:t xml:space="preserve">Daily average JPF: 2,465 cfs as of Mar 16, 2026</w:t>
      </w:r>
    </w:p>
    <w:p>
      <w:pPr>
        <w:pStyle w:val="Compact"/>
        <w:numPr>
          <w:ilvl w:val="1"/>
          <w:numId w:val="1013"/>
        </w:numPr>
      </w:pPr>
      <w:r>
        <w:t xml:space="preserve">Adult abundance (Age 1+ LFS index): 2479.2 fish</w:t>
      </w:r>
    </w:p>
    <w:p>
      <w:pPr>
        <w:pStyle w:val="Compact"/>
        <w:numPr>
          <w:ilvl w:val="2"/>
          <w:numId w:val="1014"/>
        </w:numPr>
      </w:pPr>
      <w:r>
        <w:t xml:space="preserve">5% of abundance + 1: 125.0</w:t>
      </w:r>
    </w:p>
    <w:p>
      <w:pPr>
        <w:pStyle w:val="Compact"/>
        <w:numPr>
          <w:ilvl w:val="1"/>
          <w:numId w:val="1013"/>
        </w:numPr>
      </w:pPr>
      <w:r>
        <w:t xml:space="preserve">Water year total adult longfin smelt salvage = 0</w:t>
      </w:r>
    </w:p>
    <w:bookmarkEnd w:id="56"/>
    <w:bookmarkStart w:id="57" w:name="larvaljuvenile-longfin-smelt"/>
    <w:p>
      <w:pPr>
        <w:pStyle w:val="Heading5"/>
      </w:pPr>
      <w:r>
        <w:t xml:space="preserve">Larval/juvenile longfin smelt</w:t>
      </w:r>
    </w:p>
    <w:p>
      <w:pPr>
        <w:pStyle w:val="Compact"/>
        <w:numPr>
          <w:ilvl w:val="0"/>
          <w:numId w:val="1015"/>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6"/>
        </w:numPr>
      </w:pPr>
      <w:r>
        <w:t xml:space="preserve">Daily average JPF: 2,465 cfs as of Mar 16, 2026</w:t>
      </w:r>
    </w:p>
    <w:bookmarkEnd w:id="57"/>
    <w:bookmarkEnd w:id="58"/>
    <w:bookmarkStart w:id="59" w:name="evaluation-1"/>
    <w:p>
      <w:pPr>
        <w:pStyle w:val="Heading4"/>
      </w:pPr>
      <w:r>
        <w:t xml:space="preserve">Evaluation</w:t>
      </w:r>
    </w:p>
    <w:p>
      <w:pPr>
        <w:pStyle w:val="FirstParagraph"/>
      </w:pPr>
      <w:r>
        <w:rPr>
          <w:b/>
          <w:bCs/>
        </w:rPr>
        <w:t xml:space="preserve">Longfin smelt:</w:t>
      </w:r>
    </w:p>
    <w:p>
      <w:pPr>
        <w:numPr>
          <w:ilvl w:val="0"/>
          <w:numId w:val="1017"/>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&gt; 0 cfs and no adult longfin smelt have been detected in</w:t>
      </w:r>
      <w:r>
        <w:t xml:space="preserve"> </w:t>
      </w:r>
      <w:r>
        <w:t xml:space="preserve">salvage, indicating annual loss has not begun to approach the 5% regulatory threshold.</w:t>
      </w:r>
    </w:p>
    <w:p>
      <w:pPr>
        <w:numPr>
          <w:ilvl w:val="0"/>
          <w:numId w:val="1017"/>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currently not less than 0 cfs and is not predicted to drop below 0 cfs this week. Zone of Influence modeling indicates</w:t>
      </w:r>
      <w:r>
        <w:t xml:space="preserve"> </w:t>
      </w:r>
      <w:r>
        <w:t xml:space="preserve">moderate differences in the hydrodynamic footprint across OMRI scenarios, with no change between current and forecasted conditions.</w:t>
      </w:r>
      <w:r>
        <w:t xml:space="preserve"> </w:t>
      </w:r>
      <w:r>
        <w:t xml:space="preserve">Population-based PTM results, summarized in Appendix A, project low larval entrainment relative to estimated abundance</w:t>
      </w:r>
      <w:r>
        <w:t xml:space="preserve"> </w:t>
      </w:r>
      <w:r>
        <w:t xml:space="preserve">the week ending 03/23/2026. Projected larval entrainment is 0.1% for OMRI of -6,500, and &lt;0.1% for all other</w:t>
      </w:r>
      <w:r>
        <w:t xml:space="preserve"> </w:t>
      </w:r>
      <w:r>
        <w:t xml:space="preserve">modeled OMRI levels. These projected losses remain below levels suggesting significant population decline.</w:t>
      </w:r>
    </w:p>
    <w:p>
      <w:pPr>
        <w:numPr>
          <w:ilvl w:val="0"/>
          <w:numId w:val="1017"/>
        </w:numPr>
      </w:pPr>
      <w:r>
        <w:t xml:space="preserve">Is there additional information or other analyses that should be considered in this evaluation?</w:t>
      </w:r>
    </w:p>
    <w:p>
      <w:pPr>
        <w:numPr>
          <w:ilvl w:val="0"/>
          <w:numId w:val="1000"/>
        </w:numPr>
      </w:pPr>
      <w:r>
        <w:t xml:space="preserve">Please see Appendix A for additional information.</w:t>
      </w:r>
    </w:p>
    <w:bookmarkEnd w:id="59"/>
    <w:bookmarkEnd w:id="60"/>
    <w:bookmarkStart w:id="61" w:name="end-of-smelt-entrainment-management"/>
    <w:p>
      <w:pPr>
        <w:pStyle w:val="Heading3"/>
      </w:pPr>
      <w:r>
        <w:t xml:space="preserve">End of smelt Entrainment Management</w:t>
      </w:r>
    </w:p>
    <w:p>
      <w:pPr>
        <w:pStyle w:val="Compact"/>
        <w:numPr>
          <w:ilvl w:val="0"/>
          <w:numId w:val="1018"/>
        </w:numPr>
      </w:pPr>
      <w:r>
        <w:t xml:space="preserve">Not relevant</w:t>
      </w:r>
    </w:p>
    <w:bookmarkEnd w:id="61"/>
    <w:bookmarkStart w:id="67" w:name="references"/>
    <w:p>
      <w:pPr>
        <w:pStyle w:val="Heading3"/>
      </w:pPr>
      <w:r>
        <w:t xml:space="preserve">References</w:t>
      </w:r>
    </w:p>
    <w:bookmarkStart w:id="66" w:name="refs"/>
    <w:bookmarkStart w:id="62" w:name="ref-damon2016"/>
    <w:p>
      <w:pPr>
        <w:pStyle w:val="Bibliography"/>
      </w:pPr>
      <w:r>
        <w:t xml:space="preserve">Damon, L. J., Slater, S. B., Baxter, R. D., &amp; Fujimura, R. W. (2016). Fecundity and reproductive potential of wild female delta smelt in the upper san francisco estuary, california.</w:t>
      </w:r>
      <w:r>
        <w:t xml:space="preserve"> </w:t>
      </w:r>
      <w:r>
        <w:rPr>
          <w:i/>
          <w:iCs/>
        </w:rPr>
        <w:t xml:space="preserve">California Fish and Game</w:t>
      </w:r>
      <w:r>
        <w:t xml:space="preserve">,</w:t>
      </w:r>
      <w:r>
        <w:t xml:space="preserve"> </w:t>
      </w:r>
      <w:r>
        <w:rPr>
          <w:i/>
          <w:iCs/>
        </w:rPr>
        <w:t xml:space="preserve">102</w:t>
      </w:r>
      <w:r>
        <w:t xml:space="preserve">(4), 188–210.</w:t>
      </w:r>
    </w:p>
    <w:bookmarkEnd w:id="62"/>
    <w:bookmarkStart w:id="63" w:name="ref-grimaldo2021"/>
    <w:p>
      <w:pPr>
        <w:pStyle w:val="Bibliography"/>
      </w:pPr>
      <w:r>
        <w:t xml:space="preserve">Grimaldo, L. F., Smith, W. E., &amp; Nobriga, M. L. (2021). Re-examining factors that affect delta smelt (hypomesus transpacificus) entrainment at the state water project and central valley project in the sacramento–san joaquin delta.</w:t>
      </w:r>
      <w:r>
        <w:t xml:space="preserve"> </w:t>
      </w:r>
      <w:r>
        <w:rPr>
          <w:i/>
          <w:iCs/>
        </w:rPr>
        <w:t xml:space="preserve">San Francisco Estuary and Watershed Science</w:t>
      </w:r>
      <w:r>
        <w:t xml:space="preserve">,</w:t>
      </w:r>
      <w:r>
        <w:t xml:space="preserve"> </w:t>
      </w:r>
      <w:r>
        <w:rPr>
          <w:i/>
          <w:iCs/>
        </w:rPr>
        <w:t xml:space="preserve">19</w:t>
      </w:r>
      <w:r>
        <w:t xml:space="preserve">(1).</w:t>
      </w:r>
    </w:p>
    <w:bookmarkEnd w:id="63"/>
    <w:bookmarkStart w:id="64" w:name="ref-grimaldo2009"/>
    <w:p>
      <w:pPr>
        <w:pStyle w:val="Bibliography"/>
      </w:pPr>
      <w:r>
        <w:t xml:space="preserve">Grimaldo, L. F., Sommer, T., Van Ark, N., Jones, G., Holland, E., Moyle, P. B., Herbold, B., &amp; Smith, P. (2009). Factors affecting fish entrainment into massive water diversions in a tidal freshwater estuary: Can fish losses be managed?</w:t>
      </w:r>
      <w:r>
        <w:t xml:space="preserve"> </w:t>
      </w:r>
      <w:r>
        <w:rPr>
          <w:i/>
          <w:iCs/>
        </w:rPr>
        <w:t xml:space="preserve">North American Journal of Fisheries Management</w:t>
      </w:r>
      <w:r>
        <w:t xml:space="preserve">,</w:t>
      </w:r>
      <w:r>
        <w:t xml:space="preserve"> </w:t>
      </w:r>
      <w:r>
        <w:rPr>
          <w:i/>
          <w:iCs/>
        </w:rPr>
        <w:t xml:space="preserve">29</w:t>
      </w:r>
      <w:r>
        <w:t xml:space="preserve">(5), 1253–1270.</w:t>
      </w:r>
    </w:p>
    <w:bookmarkEnd w:id="64"/>
    <w:bookmarkStart w:id="65" w:name="ref-sommer2011"/>
    <w:p>
      <w:pPr>
        <w:pStyle w:val="Bibliography"/>
      </w:pPr>
      <w:r>
        <w:t xml:space="preserve">Sommer, T., Mejia, F. H., Nobriga, M. L., Feyrer, F., &amp; Grimaldo, L. (2011). The spawning migration of delta smelt in the upper san francisco estuary.</w:t>
      </w:r>
      <w:r>
        <w:t xml:space="preserve"> </w:t>
      </w:r>
      <w:r>
        <w:rPr>
          <w:i/>
          <w:iCs/>
        </w:rPr>
        <w:t xml:space="preserve">San Francisco Estuary and Watershed Science</w:t>
      </w:r>
      <w:r>
        <w:t xml:space="preserve">,</w:t>
      </w:r>
      <w:r>
        <w:t xml:space="preserve"> </w:t>
      </w:r>
      <w:r>
        <w:rPr>
          <w:i/>
          <w:iCs/>
        </w:rPr>
        <w:t xml:space="preserve">9</w:t>
      </w:r>
      <w:r>
        <w:t xml:space="preserve">(2).</w:t>
      </w:r>
    </w:p>
    <w:bookmarkEnd w:id="65"/>
    <w:bookmarkEnd w:id="66"/>
    <w:bookmarkEnd w:id="67"/>
    <w:bookmarkEnd w:id="68"/>
    <w:sectPr w:rsidR="006E75F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F76D"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2D32306A" w14:textId="7B29240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1F785"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1C14" w14:textId="77777777" w:rsidR="00497B28" w:rsidRDefault="00497B2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7C2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F43F"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535" w14:textId="77777777" w:rsidR="00497B28" w:rsidRDefault="00497B2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B72EDB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25778032"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C2334"/>
    <w:rsid w:val="0044176F"/>
    <w:rsid w:val="00497B28"/>
    <w:rsid w:val="005A2AF6"/>
    <w:rsid w:val="006E75FE"/>
    <w:rsid w:val="00AC7395"/>
    <w:rsid w:val="00E40A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497B28"/>
    <w:pPr>
      <w:tabs>
        <w:tab w:pos="4680" w:val="center"/>
        <w:tab w:pos="9360" w:val="right"/>
      </w:tabs>
      <w:spacing w:after="0"/>
    </w:pPr>
  </w:style>
  <w:style w:customStyle="1" w:styleId="HeaderChar" w:type="character">
    <w:name w:val="Header Char"/>
    <w:basedOn w:val="DefaultParagraphFont"/>
    <w:link w:val="Header"/>
    <w:rsid w:val="00497B28"/>
  </w:style>
  <w:style w:styleId="Footer" w:type="paragraph">
    <w:name w:val="footer"/>
    <w:basedOn w:val="Normal"/>
    <w:link w:val="FooterChar"/>
    <w:uiPriority w:val="99"/>
    <w:rsid w:val="00497B28"/>
    <w:pPr>
      <w:tabs>
        <w:tab w:pos="4680" w:val="center"/>
        <w:tab w:pos="9360" w:val="right"/>
      </w:tabs>
      <w:spacing w:after="0"/>
    </w:pPr>
  </w:style>
  <w:style w:customStyle="1" w:styleId="FooterChar" w:type="character">
    <w:name w:val="Footer Char"/>
    <w:basedOn w:val="DefaultParagraphFont"/>
    <w:link w:val="Footer"/>
    <w:uiPriority w:val="99"/>
    <w:rsid w:val="00497B2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210</Words>
  <Characters>1327</Characters>
  <Application>Microsoft Office Word</Application>
  <DocSecurity>0</DocSecurity>
  <Lines>47</Lines>
  <Paragraphs>39</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2026-03-17T17:38:20Z</dcterms:created>
  <dcterms:modified xsi:type="dcterms:W3CDTF">2026-03-17T17:38:20Z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smelt.refs.bib</vt:lpwstr>
  </property>
  <property fmtid="{D5CDD505-2E9C-101B-9397-08002B2CF9AE}" pid="4" name="csl">
    <vt:lpwstr>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ocite">
    <vt:lpwstr>@*</vt:lpwstr>
  </property>
  <property fmtid="{D5CDD505-2E9C-101B-9397-08002B2CF9AE}" pid="11" name="toc-title">
    <vt:lpwstr>Table of contents</vt:lpwstr>
  </property>
</Properties>
</file>