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0.png" ContentType="image/png"/>
  <Override PartName="/word/media/rId25.png" ContentType="image/png"/>
  <Override PartName="/word/media/rId5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6826eb71b2e7ccf0cae7c428170c7924ae60314"/>
    <w:p>
      <w:pPr>
        <w:pStyle w:val="Heading2"/>
      </w:pPr>
      <w:r>
        <w:t xml:space="preserve">Weekly Assessment for Delta Operations on ESA and CESA-listed Osmerids</w:t>
      </w:r>
    </w:p>
    <w:p>
      <w:pPr>
        <w:pStyle w:val="FirstParagraph"/>
      </w:pPr>
      <w:r>
        <w:t xml:space="preserve">Last updated:</w:t>
      </w:r>
      <w:r>
        <w:t xml:space="preserve"> </w:t>
      </w:r>
      <w:r>
        <w:rPr>
          <w:i/>
          <w:iCs/>
        </w:rPr>
        <w:t xml:space="preserve">December 16, 2025</w:t>
      </w:r>
    </w:p>
    <w:bookmarkStart w:id="20" w:name="executive-summary"/>
    <w:p>
      <w:pPr>
        <w:pStyle w:val="Heading3"/>
      </w:pPr>
      <w:r>
        <w:t xml:space="preserve">Executive Summary</w:t>
      </w:r>
    </w:p>
    <w:p>
      <w:pPr>
        <w:pStyle w:val="Compact"/>
        <w:numPr>
          <w:ilvl w:val="0"/>
          <w:numId w:val="1001"/>
        </w:numPr>
      </w:pPr>
      <w:r>
        <w:t xml:space="preserve">First flush is not anitipated to occur in the weekly outlook, but could initiate the start of the Entrainment Management season for Delta smelt</w:t>
      </w:r>
    </w:p>
    <w:p>
      <w:pPr>
        <w:pStyle w:val="Compact"/>
        <w:numPr>
          <w:ilvl w:val="0"/>
          <w:numId w:val="1001"/>
        </w:numPr>
      </w:pPr>
      <w:r>
        <w:t xml:space="preserve">Freeport flows and turbidity are expected to increase late this week due to incoming storms</w:t>
      </w:r>
    </w:p>
    <w:p>
      <w:pPr>
        <w:pStyle w:val="Compact"/>
        <w:numPr>
          <w:ilvl w:val="0"/>
          <w:numId w:val="1001"/>
        </w:numPr>
      </w:pPr>
      <w:r>
        <w:t xml:space="preserve">No Delta Smelt salvage has been observed this water year</w:t>
      </w:r>
    </w:p>
    <w:bookmarkEnd w:id="20"/>
    <w:bookmarkStart w:id="22" w:name="operational-and-regulatory-conditions"/>
    <w:p>
      <w:pPr>
        <w:pStyle w:val="Heading3"/>
      </w:pPr>
      <w:r>
        <w:t xml:space="preserve">Operational and Regulatory Conditions</w:t>
      </w:r>
    </w:p>
    <w:p>
      <w:pPr>
        <w:pStyle w:val="Compact"/>
        <w:numPr>
          <w:ilvl w:val="0"/>
          <w:numId w:val="1002"/>
        </w:numPr>
      </w:pPr>
      <w:r>
        <w:t xml:space="preserve">See current Weekly Fish and Water Operations Outlook document.</w:t>
      </w:r>
    </w:p>
    <w:p>
      <w:pPr>
        <w:pStyle w:val="Compact"/>
        <w:numPr>
          <w:ilvl w:val="0"/>
          <w:numId w:val="1002"/>
        </w:numPr>
      </w:pPr>
      <w:r>
        <w:t xml:space="preserve">Additional information also available on the</w:t>
      </w:r>
      <w:r>
        <w:t xml:space="preserve"> </w:t>
      </w:r>
      <w:hyperlink r:id="rId21">
        <w:r>
          <w:rPr>
            <w:rStyle w:val="Hyperlink"/>
          </w:rPr>
          <w:t xml:space="preserve">SacPAS SMT page</w:t>
        </w:r>
      </w:hyperlink>
      <w:r>
        <w:t xml:space="preserve">.</w:t>
      </w:r>
    </w:p>
    <w:bookmarkEnd w:id="22"/>
    <w:bookmarkStart w:id="44" w:name="delta-smelt"/>
    <w:p>
      <w:pPr>
        <w:pStyle w:val="Heading3"/>
      </w:pPr>
      <w:r>
        <w:t xml:space="preserve">Delta Smelt</w:t>
      </w:r>
    </w:p>
    <w:bookmarkStart w:id="34" w:name="biological"/>
    <w:p>
      <w:pPr>
        <w:pStyle w:val="Heading4"/>
      </w:pPr>
      <w:r>
        <w:t xml:space="preserve">Biological</w:t>
      </w:r>
    </w:p>
    <w:p>
      <w:pPr>
        <w:numPr>
          <w:ilvl w:val="0"/>
          <w:numId w:val="1003"/>
        </w:numPr>
      </w:pPr>
      <w:r>
        <w:rPr>
          <w:b/>
          <w:bCs/>
        </w:rPr>
        <w:t xml:space="preserve">Delta Smelt Life Stages:</w:t>
      </w:r>
      <w:r>
        <w:t xml:space="preserve"> </w:t>
      </w:r>
      <w:r>
        <w:t xml:space="preserve">Adult, Juvenile</w:t>
      </w:r>
    </w:p>
    <w:p>
      <w:pPr>
        <w:numPr>
          <w:ilvl w:val="0"/>
          <w:numId w:val="1003"/>
        </w:numPr>
      </w:pPr>
      <w:r>
        <w:rPr>
          <w:b/>
          <w:bCs/>
        </w:rPr>
        <w:t xml:space="preserve">Abundance estimate:</w:t>
      </w:r>
      <w:r>
        <w:t xml:space="preserve"> </w:t>
      </w:r>
      <w:r>
        <w:t xml:space="preserve">10092 (95% CL: 2,302 to 29,101) as of the week of December 8–12, 2025</w:t>
      </w:r>
    </w:p>
    <w:p>
      <w:pPr>
        <w:numPr>
          <w:ilvl w:val="0"/>
          <w:numId w:val="1003"/>
        </w:numPr>
      </w:pPr>
      <w:r>
        <w:rPr>
          <w:b/>
          <w:bCs/>
        </w:rPr>
        <w:t xml:space="preserve">Releases:</w:t>
      </w:r>
      <w:r>
        <w:t xml:space="preserve"> </w:t>
      </w:r>
      <w:r>
        <w:t xml:space="preserve">A total of 138,743 hatchery Delta Smelt have been released for WY 2026. The most recent releases of 67,583 fish occurred in Belden’s Landing boat ramp in Suisun Marsh on Nov 05, 2025 to Nov 04, 2025.</w:t>
      </w:r>
    </w:p>
    <w:p>
      <w:pPr>
        <w:numPr>
          <w:ilvl w:val="0"/>
          <w:numId w:val="1003"/>
        </w:numPr>
      </w:pPr>
      <w:r>
        <w:rPr>
          <w:b/>
          <w:bCs/>
        </w:rPr>
        <w:t xml:space="preserve">Delta Smelt count:</w:t>
      </w:r>
      <w:r>
        <w:t xml:space="preserve"> </w:t>
      </w:r>
      <w:r>
        <w:t xml:space="preserve">6 adult Delta Smelt and 3 juvenile Delta smelt have been detected this water year. See</w:t>
      </w:r>
      <w:r>
        <w:t xml:space="preserve"> </w:t>
      </w:r>
      <w:hyperlink w:anchor="tbl-ds-recent-catch">
        <w:r>
          <w:rPr>
            <w:rStyle w:val="Hyperlink"/>
          </w:rPr>
          <w:t xml:space="preserve">Table 1</w:t>
        </w:r>
      </w:hyperlink>
      <w:r>
        <w:t xml:space="preserve"> </w:t>
      </w:r>
      <w:r>
        <w:t xml:space="preserve">for recent detections,</w:t>
      </w:r>
      <w:r>
        <w:t xml:space="preserve"> </w:t>
      </w:r>
      <w:hyperlink w:anchor="fig-ds-map">
        <w:r>
          <w:rPr>
            <w:rStyle w:val="Hyperlink"/>
          </w:rPr>
          <w:t xml:space="preserve">Figure 1</w:t>
        </w:r>
      </w:hyperlink>
      <w:r>
        <w:t xml:space="preserve"> </w:t>
      </w:r>
      <w:r>
        <w:t xml:space="preserve">for spatial distribution, and</w:t>
      </w:r>
      <w:r>
        <w:t xml:space="preserve"> </w:t>
      </w:r>
      <w:hyperlink w:anchor="fig-ds-catch">
        <w:r>
          <w:rPr>
            <w:rStyle w:val="Hyperlink"/>
          </w:rPr>
          <w:t xml:space="preserve">Figure 2</w:t>
        </w:r>
      </w:hyperlink>
      <w:r>
        <w:t xml:space="preserve"> </w:t>
      </w:r>
      <w:r>
        <w:t xml:space="preserve">for temporal distribution.</w:t>
      </w:r>
    </w:p>
    <w:p>
      <w:pPr>
        <w:numPr>
          <w:ilvl w:val="0"/>
          <w:numId w:val="1003"/>
        </w:numPr>
      </w:pPr>
      <w:r>
        <w:rPr>
          <w:b/>
          <w:bCs/>
        </w:rPr>
        <w:t xml:space="preserve">Delta Smelt salvage:</w:t>
      </w:r>
      <w:r>
        <w:t xml:space="preserve"> </w:t>
      </w:r>
      <w:r>
        <w:t xml:space="preserve">0 Delta Smelt have been salvaged, and the cumulative seasonal salvage is 0.</w:t>
      </w:r>
    </w:p>
    <w:p>
      <w:pPr>
        <w:pStyle w:val="FirstParagraph"/>
      </w:pPr>
      <w:r>
        <w:rPr>
          <w:b/>
          <w:bCs/>
        </w:rPr>
        <w:t xml:space="preserve">Notes</w:t>
      </w:r>
    </w:p>
    <w:p>
      <w:pPr>
        <w:pStyle w:val="Compact"/>
        <w:numPr>
          <w:ilvl w:val="0"/>
          <w:numId w:val="1004"/>
        </w:numPr>
      </w:pPr>
      <w:r>
        <w:t xml:space="preserve">Since there are few recent detections of Delta Smelt, estimation of distribution within the Delta is limited.</w:t>
      </w:r>
    </w:p>
    <w:p>
      <w:pPr>
        <w:pStyle w:val="Compact"/>
        <w:numPr>
          <w:ilvl w:val="0"/>
          <w:numId w:val="1004"/>
        </w:numPr>
      </w:pPr>
      <w:r>
        <w:t xml:space="preserve">See</w:t>
      </w:r>
      <w:r>
        <w:t xml:space="preserve"> </w:t>
      </w:r>
      <w:hyperlink r:id="rId21">
        <w:r>
          <w:rPr>
            <w:rStyle w:val="Hyperlink"/>
          </w:rPr>
          <w:t xml:space="preserve">SacPAS SMT Page</w:t>
        </w:r>
      </w:hyperlink>
      <w:r>
        <w:t xml:space="preserve"> </w:t>
      </w:r>
      <w:r>
        <w:t xml:space="preserve">for additional details on releases and detection in surveys and salvage.</w:t>
      </w:r>
    </w:p>
    <w:p>
      <w:pPr>
        <w:pStyle w:val="Compact"/>
        <w:numPr>
          <w:ilvl w:val="0"/>
          <w:numId w:val="1004"/>
        </w:numPr>
      </w:pPr>
      <w:r>
        <w:t xml:space="preserve">Historical salvage trends can be found at:</w:t>
      </w:r>
      <w:r>
        <w:t xml:space="preserve"> </w:t>
      </w:r>
      <w:hyperlink r:id="rId23">
        <w:r>
          <w:rPr>
            <w:rStyle w:val="Hyperlink"/>
          </w:rPr>
          <w:t xml:space="preserve">SacPAS Salvage Timing</w:t>
        </w:r>
      </w:hyperlink>
    </w:p>
    <w:tbl>
      <w:tblPr>
        <w:tblStyle w:val="Table"/>
        <w:tblW w:type="pct" w:w="5000"/>
        <w:tblLayout w:type="fixed"/>
        <w:tblLook w:firstRow="0" w:lastRow="0" w:firstColumn="0" w:lastColumn="0" w:noHBand="0" w:noVBand="0" w:val="0000"/>
      </w:tblPr>
      <w:tblGrid>
        <w:gridCol w:w="7920"/>
      </w:tblGrid>
      <w:tr>
        <w:tc>
          <w:tcPr/>
          <w:bookmarkStart w:id="24" w:name="tbl-ds-recent-catch"/>
          <w:p>
            <w:pPr>
              <w:jc w:val="center"/>
            </w:pPr>
            <w:pPr>
              <w:jc w:val="start"/>
              <w:spacing w:before="200"/>
              <w:pStyle w:val="ImageCaption"/>
            </w:pPr>
            <w:r>
              <w:t xml:space="preserve">Table 1: Delta Smelt Detections in the last 2 weeks. Fork Length &gt; 58mm = Adult, Fork Length 20-58mm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edsm</w:t>
                  </w:r>
                </w:p>
              </w:tc>
              <w:tc>
                <w:tcPr/>
                <w:p>
                  <w:pPr>
                    <w:pStyle w:val="Compact"/>
                    <w:jc w:val="left"/>
                    <w:jc w:val="center"/>
                  </w:pPr>
                  <w:r>
                    <w:t xml:space="preserve">2025-12-04</w:t>
                  </w:r>
                </w:p>
              </w:tc>
              <w:tc>
                <w:tcPr/>
                <w:p>
                  <w:pPr>
                    <w:pStyle w:val="Compact"/>
                    <w:jc w:val="left"/>
                    <w:jc w:val="center"/>
                  </w:pPr>
                  <w:r>
                    <w:t xml:space="preserve">North</w:t>
                  </w:r>
                </w:p>
              </w:tc>
              <w:tc>
                <w:tcPr/>
                <w:p>
                  <w:pPr>
                    <w:pStyle w:val="Compact"/>
                    <w:jc w:val="left"/>
                    <w:jc w:val="center"/>
                  </w:pPr>
                  <w:r>
                    <w:t xml:space="preserve">Sac DW Ship Channel</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2025-12-09</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3</w:t>
                  </w:r>
                </w:p>
              </w:tc>
            </w:tr>
            <w:tr>
              <w:tc>
                <w:tcPr/>
                <w:p>
                  <w:pPr>
                    <w:pStyle w:val="Compact"/>
                    <w:jc w:val="left"/>
                    <w:jc w:val="center"/>
                  </w:pPr>
                  <w:r>
                    <w:t xml:space="preserve">edsm</w:t>
                  </w:r>
                </w:p>
              </w:tc>
              <w:tc>
                <w:tcPr/>
                <w:p>
                  <w:pPr>
                    <w:pStyle w:val="Compact"/>
                    <w:jc w:val="left"/>
                    <w:jc w:val="center"/>
                  </w:pPr>
                  <w:r>
                    <w:t xml:space="preserve">2025-12-11</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2025-12-11</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3</w:t>
                  </w:r>
                </w:p>
              </w:tc>
            </w:tr>
          </w:tbl>
          <w:bookmarkEnd w:id="24"/>
          <w:p/>
        </w:tc>
      </w:tr>
    </w:tbl>
    <w:tbl>
      <w:tblPr>
        <w:tblStyle w:val="Table"/>
        <w:tblW w:type="pct" w:w="5000"/>
        <w:tblLayout w:type="fixed"/>
        <w:tblLook w:firstRow="0" w:lastRow="0" w:firstColumn="0" w:lastColumn="0" w:noHBand="0" w:noVBand="0" w:val="0000"/>
      </w:tblPr>
      <w:tblGrid>
        <w:gridCol w:w="7920"/>
      </w:tblGrid>
      <w:tr>
        <w:tc>
          <w:tcPr/>
          <w:bookmarkStart w:id="28" w:name="fig-ds-map"/>
          <w:p>
            <w:pPr>
              <w:pStyle w:val="Compact"/>
              <w:jc w:val="center"/>
            </w:pPr>
            <w:r>
              <w:drawing>
                <wp:inline>
                  <wp:extent cx="5334000" cy="4667250"/>
                  <wp:effectExtent b="0" l="0" r="0" t="0"/>
                  <wp:docPr descr="" title="" id="26" name="Picture"/>
                  <a:graphic>
                    <a:graphicData uri="http://schemas.openxmlformats.org/drawingml/2006/picture">
                      <pic:pic>
                        <pic:nvPicPr>
                          <pic:cNvPr descr="smt-assessment-v1_files/figure-docx/fig-ds-map-1.png" id="27" name="Picture"/>
                          <pic:cNvPicPr>
                            <a:picLocks noChangeArrowheads="1" noChangeAspect="1"/>
                          </pic:cNvPicPr>
                        </pic:nvPicPr>
                        <pic:blipFill>
                          <a:blip r:embed="rId2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Delta Smelt Distribution for WY 2026</w:t>
            </w:r>
          </w:p>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tch-all"/>
          <w:p>
            <w:pPr>
              <w:jc w:val="center"/>
            </w:pPr>
            <w:pPr>
              <w:jc w:val="start"/>
              <w:spacing w:before="200"/>
              <w:pStyle w:val="ImageCaption"/>
            </w:pPr>
            <w:r>
              <w:t xml:space="preserve">Table 2: Delta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5</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3</w:t>
                  </w:r>
                </w:p>
              </w:tc>
            </w:tr>
          </w:tbl>
          <w:bookmarkEnd w:id="29"/>
          <w:p/>
        </w:tc>
      </w:tr>
    </w:tbl>
    <w:tbl>
      <w:tblPr>
        <w:tblStyle w:val="Table"/>
        <w:tblW w:type="pct" w:w="5000"/>
        <w:tblLayout w:type="fixed"/>
        <w:tblLook w:firstRow="0" w:lastRow="0" w:firstColumn="0" w:lastColumn="0" w:noHBand="0" w:noVBand="0" w:val="0000"/>
      </w:tblPr>
      <w:tblGrid>
        <w:gridCol w:w="7920"/>
      </w:tblGrid>
      <w:tr>
        <w:tc>
          <w:tcPr/>
          <w:bookmarkStart w:id="33" w:name="fig-ds-catch"/>
          <w:p>
            <w:pPr>
              <w:pStyle w:val="Compact"/>
              <w:jc w:val="center"/>
            </w:pPr>
            <w:r>
              <w:drawing>
                <wp:inline>
                  <wp:extent cx="4620126" cy="3696101"/>
                  <wp:effectExtent b="0" l="0" r="0" t="0"/>
                  <wp:docPr descr="" title="" id="31" name="Picture"/>
                  <a:graphic>
                    <a:graphicData uri="http://schemas.openxmlformats.org/drawingml/2006/picture">
                      <pic:pic>
                        <pic:nvPicPr>
                          <pic:cNvPr descr="smt-assessment-v1_files/figure-docx/fig-ds-catch-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Time Series of Delta Smelt Catch, WY 2026</w:t>
            </w:r>
          </w:p>
          <w:bookmarkEnd w:id="33"/>
        </w:tc>
      </w:tr>
    </w:tbl>
    <w:bookmarkEnd w:id="34"/>
    <w:bookmarkStart w:id="39" w:name="environmental"/>
    <w:p>
      <w:pPr>
        <w:pStyle w:val="Heading4"/>
      </w:pPr>
      <w:r>
        <w:t xml:space="preserve">Environmental</w:t>
      </w:r>
    </w:p>
    <w:bookmarkStart w:id="38" w:name="first-flush"/>
    <w:p>
      <w:pPr>
        <w:pStyle w:val="Heading5"/>
      </w:pPr>
      <w:r>
        <w:t xml:space="preserve">First Flush</w:t>
      </w:r>
    </w:p>
    <w:p>
      <w:pPr>
        <w:pStyle w:val="FirstParagraph"/>
      </w:pPr>
      <w:r>
        <w:rPr>
          <w:b/>
          <w:bCs/>
        </w:rPr>
        <w:t xml:space="preserve">Threshold</w:t>
      </w:r>
      <w:r>
        <w:t xml:space="preserve">: 3-day avg FPT flow ≥ 25,000 cfs and 3-day avg FPT turbidity ≥ 50 FNU</w:t>
      </w:r>
    </w:p>
    <w:p>
      <w:pPr>
        <w:pStyle w:val="Compact"/>
        <w:numPr>
          <w:ilvl w:val="0"/>
          <w:numId w:val="1005"/>
        </w:numPr>
      </w:pPr>
      <w:r>
        <w:rPr>
          <w:b/>
          <w:bCs/>
        </w:rPr>
        <w:t xml:space="preserve">FPT Flow (3-day average)</w:t>
      </w:r>
      <w:r>
        <w:t xml:space="preserve">: 9925 cfs as of Dec 15, 2025</w:t>
      </w:r>
    </w:p>
    <w:p>
      <w:pPr>
        <w:pStyle w:val="Compact"/>
        <w:numPr>
          <w:ilvl w:val="0"/>
          <w:numId w:val="1005"/>
        </w:numPr>
      </w:pPr>
      <w:r>
        <w:rPr>
          <w:b/>
          <w:bCs/>
        </w:rPr>
        <w:t xml:space="preserve">FPT Turbidity (3-day average)</w:t>
      </w:r>
      <w:r>
        <w:t xml:space="preserve">: 7.03 FNU as of Dec 15, 2025</w:t>
      </w:r>
    </w:p>
    <w:p>
      <w:pPr>
        <w:pStyle w:val="FirstParagraph"/>
      </w:pPr>
      <w:r>
        <w:drawing>
          <wp:inline>
            <wp:extent cx="4533900" cy="3238500"/>
            <wp:effectExtent b="0" l="0" r="0" t="0"/>
            <wp:docPr descr="" title="" id="36" name="Picture"/>
            <a:graphic>
              <a:graphicData uri="http://schemas.openxmlformats.org/drawingml/2006/picture">
                <pic:pic>
                  <pic:nvPicPr>
                    <pic:cNvPr descr="smelt_figures/freeport_flow.png" id="37" name="Picture"/>
                    <pic:cNvPicPr>
                      <a:picLocks noChangeArrowheads="1" noChangeAspect="1"/>
                    </pic:cNvPicPr>
                  </pic:nvPicPr>
                  <pic:blipFill>
                    <a:blip r:embed="rId35"/>
                    <a:stretch>
                      <a:fillRect/>
                    </a:stretch>
                  </pic:blipFill>
                  <pic:spPr bwMode="auto">
                    <a:xfrm>
                      <a:off x="0" y="0"/>
                      <a:ext cx="4533900" cy="3238500"/>
                    </a:xfrm>
                    <a:prstGeom prst="rect">
                      <a:avLst/>
                    </a:prstGeom>
                    <a:noFill/>
                    <a:ln w="9525">
                      <a:noFill/>
                      <a:headEnd/>
                      <a:tailEnd/>
                    </a:ln>
                  </pic:spPr>
                </pic:pic>
              </a:graphicData>
            </a:graphic>
          </wp:inline>
        </w:drawing>
      </w:r>
    </w:p>
    <w:bookmarkEnd w:id="38"/>
    <w:bookmarkEnd w:id="39"/>
    <w:bookmarkStart w:id="43" w:name="real-time-assessment-thresholds"/>
    <w:p>
      <w:pPr>
        <w:pStyle w:val="Heading4"/>
      </w:pPr>
      <w:r>
        <w:t xml:space="preserve">Real-time Assessment Thresholds</w:t>
      </w:r>
    </w:p>
    <w:p>
      <w:pPr>
        <w:pStyle w:val="Compact"/>
        <w:numPr>
          <w:ilvl w:val="0"/>
          <w:numId w:val="1006"/>
        </w:numPr>
      </w:pPr>
      <w:r>
        <w:t xml:space="preserve">Jersey Point Flow (JPF): Reclamation and DWR would compute JPF based on San Joaquin River Inflow at Vernalis, Cosumnes River Inflow, Mokelumne River Inflow, Calaveras River Inflow, Flow from Sacramento River through DCC, Flow from Sacramento River through Georgiana Slough, 65% of in-Delta precipitation, -65% of in-Delta diversions, and -Export Pumping at (Banks + Jones).</w:t>
      </w:r>
    </w:p>
    <w:bookmarkStart w:id="41" w:name="adult-delta-smelt"/>
    <w:p>
      <w:pPr>
        <w:pStyle w:val="Heading5"/>
      </w:pPr>
      <w:r>
        <w:t xml:space="preserve">Adult Delta Smelt</w:t>
      </w:r>
    </w:p>
    <w:p>
      <w:pPr>
        <w:pStyle w:val="Compact"/>
        <w:numPr>
          <w:ilvl w:val="0"/>
          <w:numId w:val="1007"/>
        </w:numPr>
      </w:pPr>
      <w:r>
        <w:t xml:space="preserve">Not relevant</w:t>
      </w:r>
    </w:p>
    <w:p>
      <w:pPr>
        <w:pStyle w:val="Compact"/>
        <w:numPr>
          <w:ilvl w:val="0"/>
          <w:numId w:val="1008"/>
        </w:numPr>
      </w:pPr>
      <w:r>
        <w:t xml:space="preserve">See</w:t>
      </w:r>
      <w:r>
        <w:t xml:space="preserve"> </w:t>
      </w:r>
      <w:hyperlink r:id="rId40">
        <w:r>
          <w:rPr>
            <w:rStyle w:val="Hyperlink"/>
          </w:rPr>
          <w:t xml:space="preserve">Bay-Delta Live</w:t>
        </w:r>
      </w:hyperlink>
      <w:r>
        <w:t xml:space="preserve"> </w:t>
      </w:r>
      <w:r>
        <w:t xml:space="preserve">for recent Delta-wide turbidity conditions.</w:t>
      </w:r>
      <w:r>
        <w:t xml:space="preserve"> </w:t>
      </w:r>
    </w:p>
    <w:bookmarkEnd w:id="41"/>
    <w:bookmarkStart w:id="42" w:name="larvaljuvenile-delta-smelt"/>
    <w:p>
      <w:pPr>
        <w:pStyle w:val="Heading5"/>
      </w:pPr>
      <w:r>
        <w:t xml:space="preserve">Larval/Juvenile Delta Smelt</w:t>
      </w:r>
    </w:p>
    <w:p>
      <w:pPr>
        <w:pStyle w:val="Compact"/>
        <w:numPr>
          <w:ilvl w:val="0"/>
          <w:numId w:val="1009"/>
        </w:numPr>
      </w:pPr>
      <w:r>
        <w:t xml:space="preserve">Not relevant</w:t>
      </w:r>
    </w:p>
    <w:bookmarkEnd w:id="42"/>
    <w:bookmarkEnd w:id="43"/>
    <w:bookmarkEnd w:id="44"/>
    <w:bookmarkStart w:id="60" w:name="longfin-smelt"/>
    <w:p>
      <w:pPr>
        <w:pStyle w:val="Heading3"/>
      </w:pPr>
      <w:r>
        <w:t xml:space="preserve">Longfin Smelt</w:t>
      </w:r>
    </w:p>
    <w:bookmarkStart w:id="55" w:name="biological-1"/>
    <w:p>
      <w:pPr>
        <w:pStyle w:val="Heading4"/>
      </w:pPr>
      <w:r>
        <w:t xml:space="preserve">Biological</w:t>
      </w:r>
    </w:p>
    <w:p>
      <w:pPr>
        <w:numPr>
          <w:ilvl w:val="0"/>
          <w:numId w:val="1010"/>
        </w:numPr>
      </w:pPr>
      <w:r>
        <w:rPr>
          <w:b/>
          <w:bCs/>
        </w:rPr>
        <w:t xml:space="preserve">Longfin Smelt Life Stages:</w:t>
      </w:r>
      <w:r>
        <w:t xml:space="preserve"> </w:t>
      </w:r>
      <w:r>
        <w:t xml:space="preserve">Adult, Juvenile</w:t>
      </w:r>
    </w:p>
    <w:p>
      <w:pPr>
        <w:numPr>
          <w:ilvl w:val="0"/>
          <w:numId w:val="1010"/>
        </w:numPr>
      </w:pPr>
      <w:r>
        <w:rPr>
          <w:b/>
          <w:bCs/>
        </w:rPr>
        <w:t xml:space="preserve">Longfin Smelt count:</w:t>
      </w:r>
      <w:r>
        <w:t xml:space="preserve"> </w:t>
      </w:r>
      <w:r>
        <w:t xml:space="preserve">13 adult Longfin Smelt and 31 juvenile Longfin smelt have been detected this water year. See</w:t>
      </w:r>
      <w:r>
        <w:t xml:space="preserve"> </w:t>
      </w:r>
      <w:hyperlink w:anchor="tbl-lfs-recent-catch">
        <w:r>
          <w:rPr>
            <w:rStyle w:val="Hyperlink"/>
          </w:rPr>
          <w:t xml:space="preserve">Table 3</w:t>
        </w:r>
      </w:hyperlink>
      <w:r>
        <w:t xml:space="preserve"> </w:t>
      </w:r>
      <w:r>
        <w:t xml:space="preserve">for recent detections,</w:t>
      </w:r>
      <w:r>
        <w:t xml:space="preserve"> </w:t>
      </w:r>
      <w:hyperlink w:anchor="fig-lfs-map">
        <w:r>
          <w:rPr>
            <w:rStyle w:val="Hyperlink"/>
          </w:rPr>
          <w:t xml:space="preserve">Figure 3</w:t>
        </w:r>
      </w:hyperlink>
      <w:r>
        <w:t xml:space="preserve"> </w:t>
      </w:r>
      <w:r>
        <w:t xml:space="preserve">for spatial distribution, and</w:t>
      </w:r>
      <w:r>
        <w:t xml:space="preserve"> </w:t>
      </w:r>
      <w:hyperlink w:anchor="fig-lfs-catch">
        <w:r>
          <w:rPr>
            <w:rStyle w:val="Hyperlink"/>
          </w:rPr>
          <w:t xml:space="preserve">Figure 4</w:t>
        </w:r>
      </w:hyperlink>
      <w:r>
        <w:t xml:space="preserve"> </w:t>
      </w:r>
      <w:r>
        <w:t xml:space="preserve">for temporal distribution.</w:t>
      </w:r>
    </w:p>
    <w:p>
      <w:pPr>
        <w:numPr>
          <w:ilvl w:val="0"/>
          <w:numId w:val="1010"/>
        </w:numPr>
      </w:pPr>
      <w:r>
        <w:rPr>
          <w:b/>
          <w:bCs/>
        </w:rPr>
        <w:t xml:space="preserve">Longfin Smelt salvage:</w:t>
      </w:r>
      <w:r>
        <w:t xml:space="preserve"> </w:t>
      </w:r>
      <w:r>
        <w:t xml:space="preserve">0 Longfin Smelt have been salvaged, and the cumulative seasonal salvage is 0.</w:t>
      </w:r>
      <w:r>
        <w:t xml:space="preserve"> </w:t>
      </w:r>
    </w:p>
    <w:tbl>
      <w:tblPr>
        <w:tblStyle w:val="Table"/>
        <w:tblW w:type="pct" w:w="5000"/>
        <w:tblLayout w:type="fixed"/>
        <w:tblLook w:firstRow="0" w:lastRow="0" w:firstColumn="0" w:lastColumn="0" w:noHBand="0" w:noVBand="0" w:val="0000"/>
      </w:tblPr>
      <w:tblGrid>
        <w:gridCol w:w="7920"/>
      </w:tblGrid>
      <w:tr>
        <w:tc>
          <w:tcPr/>
          <w:bookmarkStart w:id="45" w:name="tbl-lfs-recent-catch"/>
          <w:p>
            <w:pPr>
              <w:jc w:val="center"/>
            </w:pPr>
            <w:pPr>
              <w:jc w:val="start"/>
              <w:spacing w:before="200"/>
              <w:pStyle w:val="ImageCaption"/>
            </w:pPr>
            <w:r>
              <w:t xml:space="preserve">Table 3: Longfin Smelt Detections in the last 2 weeks. Fork Length &gt; 84mm = Adult, Fork Length 20-84mm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edsm</w:t>
                  </w:r>
                </w:p>
              </w:tc>
              <w:tc>
                <w:tcPr/>
                <w:p>
                  <w:pPr>
                    <w:pStyle w:val="Compact"/>
                    <w:jc w:val="left"/>
                    <w:jc w:val="center"/>
                  </w:pPr>
                  <w:r>
                    <w:t xml:space="preserve">2025-12-10</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2025-12-10</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6</w:t>
                  </w:r>
                </w:p>
              </w:tc>
            </w:tr>
            <w:tr>
              <w:tc>
                <w:tcPr/>
                <w:p>
                  <w:pPr>
                    <w:pStyle w:val="Compact"/>
                    <w:jc w:val="left"/>
                    <w:jc w:val="center"/>
                  </w:pPr>
                  <w:r>
                    <w:t xml:space="preserve">edsm</w:t>
                  </w:r>
                </w:p>
              </w:tc>
              <w:tc>
                <w:tcPr/>
                <w:p>
                  <w:pPr>
                    <w:pStyle w:val="Compact"/>
                    <w:jc w:val="left"/>
                    <w:jc w:val="center"/>
                  </w:pPr>
                  <w:r>
                    <w:t xml:space="preserve">2025-12-11</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9</w:t>
                  </w:r>
                </w:p>
              </w:tc>
            </w:tr>
            <w:tr>
              <w:tc>
                <w:tcPr/>
                <w:p>
                  <w:pPr>
                    <w:pStyle w:val="Compact"/>
                    <w:jc w:val="left"/>
                    <w:jc w:val="center"/>
                  </w:pPr>
                  <w:r>
                    <w:t xml:space="preserve">edsm</w:t>
                  </w:r>
                </w:p>
              </w:tc>
              <w:tc>
                <w:tcPr/>
                <w:p>
                  <w:pPr>
                    <w:pStyle w:val="Compact"/>
                    <w:jc w:val="left"/>
                    <w:jc w:val="center"/>
                  </w:pPr>
                  <w:r>
                    <w:t xml:space="preserve">2025-12-11</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23</w:t>
                  </w:r>
                </w:p>
              </w:tc>
            </w:tr>
            <w:tr>
              <w:tc>
                <w:tcPr/>
                <w:p>
                  <w:pPr>
                    <w:pStyle w:val="Compact"/>
                    <w:jc w:val="left"/>
                    <w:jc w:val="center"/>
                  </w:pPr>
                  <w:r>
                    <w:t xml:space="preserve">edsm</w:t>
                  </w:r>
                </w:p>
              </w:tc>
              <w:tc>
                <w:tcPr/>
                <w:p>
                  <w:pPr>
                    <w:pStyle w:val="Compact"/>
                    <w:jc w:val="left"/>
                    <w:jc w:val="center"/>
                  </w:pPr>
                  <w:r>
                    <w:t xml:space="preserve">2025-12-15</w:t>
                  </w:r>
                </w:p>
              </w:tc>
              <w:tc>
                <w:tcPr/>
                <w:p>
                  <w:pPr>
                    <w:pStyle w:val="Compact"/>
                    <w:jc w:val="left"/>
                    <w:jc w:val="center"/>
                  </w:pPr>
                  <w:r>
                    <w:t xml:space="preserve">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2025-12-15</w:t>
                  </w:r>
                </w:p>
              </w:tc>
              <w:tc>
                <w:tcPr/>
                <w:p>
                  <w:pPr>
                    <w:pStyle w:val="Compact"/>
                    <w:jc w:val="left"/>
                    <w:jc w:val="center"/>
                  </w:pPr>
                  <w:r>
                    <w:t xml:space="preserve">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2</w:t>
                  </w:r>
                </w:p>
              </w:tc>
            </w:tr>
          </w:tbl>
          <w:bookmarkEnd w:id="45"/>
          <w:p/>
        </w:tc>
      </w:tr>
    </w:tbl>
    <w:tbl>
      <w:tblPr>
        <w:tblStyle w:val="Table"/>
        <w:tblW w:type="pct" w:w="5000"/>
        <w:tblLayout w:type="fixed"/>
        <w:tblLook w:firstRow="0" w:lastRow="0" w:firstColumn="0" w:lastColumn="0" w:noHBand="0" w:noVBand="0" w:val="0000"/>
      </w:tblPr>
      <w:tblGrid>
        <w:gridCol w:w="7920"/>
      </w:tblGrid>
      <w:tr>
        <w:tc>
          <w:tcPr/>
          <w:bookmarkStart w:id="49" w:name="fig-lfs-map"/>
          <w:p>
            <w:pPr>
              <w:pStyle w:val="Compact"/>
              <w:jc w:val="center"/>
            </w:pPr>
            <w:r>
              <w:drawing>
                <wp:inline>
                  <wp:extent cx="5334000" cy="4667250"/>
                  <wp:effectExtent b="0" l="0" r="0" t="0"/>
                  <wp:docPr descr="" title="" id="47" name="Picture"/>
                  <a:graphic>
                    <a:graphicData uri="http://schemas.openxmlformats.org/drawingml/2006/picture">
                      <pic:pic>
                        <pic:nvPicPr>
                          <pic:cNvPr descr="smt-assessment-v1_files/figure-docx/fig-lfs-map-1.png" id="48" name="Picture"/>
                          <pic:cNvPicPr>
                            <a:picLocks noChangeArrowheads="1" noChangeAspect="1"/>
                          </pic:cNvPicPr>
                        </pic:nvPicPr>
                        <pic:blipFill>
                          <a:blip r:embed="rId46"/>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Longfin Smelt Distribution for WY 2026</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lfs-catch-all"/>
          <w:p>
            <w:pPr>
              <w:jc w:val="center"/>
            </w:pPr>
            <w:pPr>
              <w:jc w:val="start"/>
              <w:spacing w:before="200"/>
              <w:pStyle w:val="ImageCaption"/>
            </w:pPr>
            <w:r>
              <w:t xml:space="preserve">Table 4: Longfin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6</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11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25</w:t>
                  </w:r>
                </w:p>
              </w:tc>
            </w:tr>
          </w:tbl>
          <w:bookmarkEnd w:id="50"/>
          <w:p/>
        </w:tc>
      </w:tr>
    </w:tbl>
    <w:tbl>
      <w:tblPr>
        <w:tblStyle w:val="Table"/>
        <w:tblW w:type="pct" w:w="5000"/>
        <w:tblLayout w:type="fixed"/>
        <w:tblLook w:firstRow="0" w:lastRow="0" w:firstColumn="0" w:lastColumn="0" w:noHBand="0" w:noVBand="0" w:val="0000"/>
      </w:tblPr>
      <w:tblGrid>
        <w:gridCol w:w="7920"/>
      </w:tblGrid>
      <w:tr>
        <w:tc>
          <w:tcPr/>
          <w:bookmarkStart w:id="54" w:name="fig-lfs-catch"/>
          <w:p>
            <w:pPr>
              <w:pStyle w:val="Compact"/>
              <w:jc w:val="center"/>
            </w:pPr>
            <w:r>
              <w:drawing>
                <wp:inline>
                  <wp:extent cx="4620126" cy="3696101"/>
                  <wp:effectExtent b="0" l="0" r="0" t="0"/>
                  <wp:docPr descr="" title="" id="52" name="Picture"/>
                  <a:graphic>
                    <a:graphicData uri="http://schemas.openxmlformats.org/drawingml/2006/picture">
                      <pic:pic>
                        <pic:nvPicPr>
                          <pic:cNvPr descr="smt-assessment-v1_files/figure-docx/fig-lfs-catch-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Time Series of Longfin Smelt Catch, WY 2026</w:t>
            </w:r>
          </w:p>
          <w:bookmarkEnd w:id="54"/>
        </w:tc>
      </w:tr>
    </w:tbl>
    <w:bookmarkEnd w:id="55"/>
    <w:bookmarkStart w:id="59" w:name="real-time-assessment-thresholds-1"/>
    <w:p>
      <w:pPr>
        <w:pStyle w:val="Heading4"/>
      </w:pPr>
      <w:r>
        <w:t xml:space="preserve">Real-time Assessment Thresholds</w:t>
      </w:r>
    </w:p>
    <w:bookmarkStart w:id="56" w:name="X20cb4fe57c6f57bc33c1a6af910e71e88796402"/>
    <w:p>
      <w:pPr>
        <w:pStyle w:val="Heading5"/>
      </w:pPr>
      <w:r>
        <w:t xml:space="preserve">Start of Entrainment Management (Adult Longfin Smelt)</w:t>
      </w:r>
    </w:p>
    <w:p>
      <w:pPr>
        <w:pStyle w:val="Compact"/>
        <w:numPr>
          <w:ilvl w:val="0"/>
          <w:numId w:val="1011"/>
        </w:numPr>
      </w:pPr>
      <w:r>
        <w:t xml:space="preserve">Threshold: JPF &lt; 0 cfs AND salvage of adult longfin exceeds 26.8 fish (5% of FMWT Index + 1)</w:t>
      </w:r>
    </w:p>
    <w:p>
      <w:pPr>
        <w:pStyle w:val="Compact"/>
        <w:numPr>
          <w:ilvl w:val="1"/>
          <w:numId w:val="1012"/>
        </w:numPr>
      </w:pPr>
      <w:r>
        <w:t xml:space="preserve">7-day average JPF: -616.81 cfs as of Dec 15, 2025</w:t>
      </w:r>
    </w:p>
    <w:p>
      <w:pPr>
        <w:pStyle w:val="Compact"/>
        <w:numPr>
          <w:ilvl w:val="1"/>
          <w:numId w:val="1012"/>
        </w:numPr>
      </w:pPr>
      <w:r>
        <w:t xml:space="preserve">Water year total Age 1+ longfin smelt salvage = 0</w:t>
      </w:r>
    </w:p>
    <w:bookmarkEnd w:id="56"/>
    <w:bookmarkStart w:id="57" w:name="adult-longfin-smelt"/>
    <w:p>
      <w:pPr>
        <w:pStyle w:val="Heading5"/>
      </w:pPr>
      <w:r>
        <w:t xml:space="preserve">Adult Longfin Smelt</w:t>
      </w:r>
    </w:p>
    <w:p>
      <w:pPr>
        <w:pStyle w:val="Compact"/>
        <w:numPr>
          <w:ilvl w:val="0"/>
          <w:numId w:val="1013"/>
        </w:numPr>
      </w:pPr>
      <w:r>
        <w:t xml:space="preserve">Threshold: JPF &lt; 0 cfs AND annual loss is on a trajectory to exceed 5% of the adult population abundance</w:t>
      </w:r>
    </w:p>
    <w:p>
      <w:pPr>
        <w:pStyle w:val="Compact"/>
        <w:numPr>
          <w:ilvl w:val="1"/>
          <w:numId w:val="1014"/>
        </w:numPr>
      </w:pPr>
      <w:r>
        <w:t xml:space="preserve">7-day average JPF: -616.81 cfs as of Dec 15, 2025</w:t>
      </w:r>
    </w:p>
    <w:p>
      <w:pPr>
        <w:pStyle w:val="Compact"/>
        <w:numPr>
          <w:ilvl w:val="1"/>
          <w:numId w:val="1014"/>
        </w:numPr>
      </w:pPr>
      <w:r>
        <w:t xml:space="preserve">Water year total adult longfin smelt salvage = 0</w:t>
      </w:r>
    </w:p>
    <w:bookmarkEnd w:id="57"/>
    <w:bookmarkStart w:id="58" w:name="larvaljuvenile-longfin-smelt"/>
    <w:p>
      <w:pPr>
        <w:pStyle w:val="Heading5"/>
      </w:pPr>
      <w:r>
        <w:t xml:space="preserve">Larval/Juvenile Longfin Smelt</w:t>
      </w:r>
    </w:p>
    <w:p>
      <w:pPr>
        <w:pStyle w:val="Compact"/>
        <w:numPr>
          <w:ilvl w:val="0"/>
          <w:numId w:val="1015"/>
        </w:numPr>
      </w:pPr>
      <w:r>
        <w:t xml:space="preserve">Threshold: JPF &lt; 0 cfs AND population model demonstrates need to reduce entrainment to avoid population decline</w:t>
      </w:r>
    </w:p>
    <w:p>
      <w:pPr>
        <w:pStyle w:val="Compact"/>
        <w:numPr>
          <w:ilvl w:val="1"/>
          <w:numId w:val="1016"/>
        </w:numPr>
      </w:pPr>
      <w:r>
        <w:t xml:space="preserve">7-day average JPF: -616.81 cfs as of Dec 15, 2025</w:t>
      </w:r>
    </w:p>
    <w:bookmarkEnd w:id="58"/>
    <w:bookmarkEnd w:id="59"/>
    <w:bookmarkEnd w:id="60"/>
    <w:bookmarkStart w:id="61" w:name="end-of-smelt-omr-management"/>
    <w:p>
      <w:pPr>
        <w:pStyle w:val="Heading3"/>
      </w:pPr>
      <w:r>
        <w:t xml:space="preserve">End of Smelt OMR Management</w:t>
      </w:r>
    </w:p>
    <w:p>
      <w:pPr>
        <w:pStyle w:val="Compact"/>
        <w:numPr>
          <w:ilvl w:val="0"/>
          <w:numId w:val="1017"/>
        </w:numPr>
      </w:pPr>
      <w:r>
        <w:t xml:space="preserve">Not relevant</w:t>
      </w:r>
    </w:p>
    <w:bookmarkEnd w:id="61"/>
    <w:bookmarkStart w:id="62" w:name="references"/>
    <w:p>
      <w:pPr>
        <w:pStyle w:val="Heading3"/>
      </w:pPr>
      <w:r>
        <w:t xml:space="preserve">References</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6" Target="media/rId46.png" /><Relationship Type="http://schemas.openxmlformats.org/officeDocument/2006/relationships/hyperlink" Id="rId40"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_rels/footnotes.xml.rels><?xml version="1.0" encoding="UTF-8"?><Relationships xmlns="http://schemas.openxmlformats.org/package/2006/relationships"><Relationship Type="http://schemas.openxmlformats.org/officeDocument/2006/relationships/hyperlink" Id="rId40"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2025-12-16T20:02:35Z</dcterms:created>
  <dcterms:modified xsi:type="dcterms:W3CDTF">2025-12-16T20:02:35Z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