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25.png" ContentType="image/png"/>
  <Override PartName="/word/media/rId70.png" ContentType="image/png"/>
  <Override PartName="/word/media/rId50.png" ContentType="image/png"/>
  <Override PartName="/word/media/rId74.png" ContentType="image/png"/>
  <Override PartName="/word/media/rId82.png" ContentType="image/png"/>
  <Override PartName="/word/media/rId78.png" ContentType="image/png"/>
  <Override PartName="/word/media/rId38.png" ContentType="image/png"/>
  <Override PartName="/word/media/rId3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X29b5f33945bac93ce69a4140f075cf8233c41e3"/>
    <w:p>
      <w:pPr>
        <w:pStyle w:val="Heading2"/>
      </w:pPr>
      <w:r>
        <w:t xml:space="preserve">Assessment for Delta Operations on Salmonids</w:t>
      </w:r>
    </w:p>
    <w:p>
      <w:pPr>
        <w:pStyle w:val="FirstParagraph"/>
      </w:pPr>
      <w:r>
        <w:t xml:space="preserve">Last updated:</w:t>
      </w:r>
      <w:r>
        <w:t xml:space="preserve"> </w:t>
      </w:r>
      <w:r>
        <w:rPr>
          <w:i/>
          <w:iCs/>
        </w:rPr>
        <w:t xml:space="preserve">January 28, 2026</w:t>
      </w:r>
    </w:p>
    <w:p>
      <w:pPr>
        <w:pStyle w:val="BodyText"/>
      </w:pPr>
      <w:r>
        <w:t xml:space="preserve">For more detailed data on salmonid conditions in the Delta see corresponding webpage on</w:t>
      </w:r>
      <w:r>
        <w:t xml:space="preserve"> </w:t>
      </w:r>
      <w:hyperlink r:id="rId20">
        <w:r>
          <w:rPr>
            <w:rStyle w:val="Hyperlink"/>
          </w:rPr>
          <w:t xml:space="preserve">SacPAS</w:t>
        </w:r>
      </w:hyperlink>
      <w:r>
        <w:t xml:space="preserve">.</w:t>
      </w:r>
    </w:p>
    <w:bookmarkStart w:id="21" w:name="executive-summary"/>
    <w:p>
      <w:pPr>
        <w:pStyle w:val="Heading3"/>
      </w:pPr>
      <w:r>
        <w:t xml:space="preserve">Executive Summary</w:t>
      </w:r>
    </w:p>
    <w:p>
      <w:pPr>
        <w:numPr>
          <w:ilvl w:val="0"/>
          <w:numId w:val="1001"/>
        </w:numPr>
      </w:pPr>
      <w:r>
        <w:t xml:space="preserve">Entrainment management season is</w:t>
      </w:r>
      <w:r>
        <w:t xml:space="preserve"> </w:t>
      </w:r>
      <w:r>
        <w:rPr>
          <w:b/>
          <w:bCs/>
        </w:rPr>
        <w:t xml:space="preserve">active</w:t>
      </w:r>
      <w:r>
        <w:t xml:space="preserve">.</w:t>
      </w:r>
    </w:p>
    <w:p>
      <w:pPr>
        <w:numPr>
          <w:ilvl w:val="0"/>
          <w:numId w:val="1001"/>
        </w:numPr>
      </w:pPr>
      <w:r>
        <w:t xml:space="preserve">Season Loss:</w:t>
      </w:r>
      <w:r>
        <w:t xml:space="preserve"> </w:t>
      </w:r>
      <w:r>
        <w:rPr>
          <w:b/>
          <w:bCs/>
        </w:rPr>
        <w:t xml:space="preserve">0</w:t>
      </w:r>
      <w:r>
        <w:t xml:space="preserve"> </w:t>
      </w:r>
      <w:r>
        <w:t xml:space="preserve">(0.00% of threshold) DNA Winter-run,</w:t>
      </w:r>
      <w:r>
        <w:t xml:space="preserve"> </w:t>
      </w:r>
      <w:r>
        <w:rPr>
          <w:b/>
          <w:bCs/>
        </w:rPr>
        <w:t xml:space="preserve">0</w:t>
      </w:r>
      <w:r>
        <w:t xml:space="preserve"> </w:t>
      </w:r>
      <w:r>
        <w:t xml:space="preserve">(0.00% of threshold) Hatchery Winter-run,</w:t>
      </w:r>
      <w:r>
        <w:t xml:space="preserve"> </w:t>
      </w:r>
      <w:r>
        <w:rPr>
          <w:b/>
          <w:bCs/>
        </w:rPr>
        <w:t xml:space="preserve">47</w:t>
      </w:r>
      <w:r>
        <w:t xml:space="preserve"> </w:t>
      </w:r>
      <w:r>
        <w:t xml:space="preserve">(0.88% of threshold) Natural Steelhead,</w:t>
      </w:r>
      <w:r>
        <w:t xml:space="preserve"> </w:t>
      </w:r>
      <w:r>
        <w:rPr>
          <w:b/>
          <w:bCs/>
        </w:rPr>
        <w:t xml:space="preserve">280</w:t>
      </w:r>
      <w:r>
        <w:t xml:space="preserve"> </w:t>
      </w:r>
      <w:r>
        <w:t xml:space="preserve">(4.73% of threshold) Hatchery Steelhead, and</w:t>
      </w:r>
      <w:r>
        <w:t xml:space="preserve"> </w:t>
      </w:r>
      <w:r>
        <w:rPr>
          <w:b/>
          <w:bCs/>
        </w:rPr>
        <w:t xml:space="preserve">1019</w:t>
      </w:r>
      <w:r>
        <w:t xml:space="preserve"> </w:t>
      </w:r>
      <w:r>
        <w:t xml:space="preserve">(46.34% of threshold) Spring-run Surrogates.</w:t>
      </w:r>
    </w:p>
    <w:p>
      <w:pPr>
        <w:numPr>
          <w:ilvl w:val="0"/>
          <w:numId w:val="1001"/>
        </w:numPr>
      </w:pPr>
      <w:r>
        <w:t xml:space="preserve">Winter-run presence in the Delta is</w:t>
      </w:r>
      <w:r>
        <w:t xml:space="preserve"> </w:t>
      </w:r>
      <w:r>
        <w:rPr>
          <w:b/>
          <w:bCs/>
        </w:rPr>
        <w:t xml:space="preserve">decreasing</w:t>
      </w:r>
      <w:r>
        <w:t xml:space="preserve"> </w:t>
      </w:r>
      <w:r>
        <w:t xml:space="preserve">(winding down).</w:t>
      </w:r>
    </w:p>
    <w:p>
      <w:pPr>
        <w:numPr>
          <w:ilvl w:val="0"/>
          <w:numId w:val="1001"/>
        </w:numPr>
      </w:pPr>
      <w:r>
        <w:t xml:space="preserve">Steelhead presence in the Delta is</w:t>
      </w:r>
      <w:r>
        <w:t xml:space="preserve"> </w:t>
      </w:r>
      <w:r>
        <w:rPr>
          <w:b/>
          <w:bCs/>
        </w:rPr>
        <w:t xml:space="preserve">high</w:t>
      </w:r>
      <w:r>
        <w:t xml:space="preserve"> </w:t>
      </w:r>
      <w:r>
        <w:t xml:space="preserve">(historical peak).</w:t>
      </w:r>
    </w:p>
    <w:bookmarkEnd w:id="21"/>
    <w:bookmarkStart w:id="43" w:name="natural-winter-run-chinook"/>
    <w:p>
      <w:pPr>
        <w:pStyle w:val="Heading3"/>
      </w:pPr>
      <w:r>
        <w:t xml:space="preserve">Natural Winter-run Chinook</w:t>
      </w:r>
    </w:p>
    <w:bookmarkStart w:id="22" w:name="juvenile-production-estimate"/>
    <w:p>
      <w:pPr>
        <w:pStyle w:val="Heading4"/>
      </w:pPr>
      <w:r>
        <w:t xml:space="preserve">Juvenile Production Estimate</w:t>
      </w:r>
    </w:p>
    <w:p>
      <w:pPr>
        <w:pStyle w:val="FirstParagraph"/>
      </w:pPr>
      <w:r>
        <w:t xml:space="preserve">The Juvenile Production Estimate for winter-run is 1,057,452 for the current water year.</w:t>
      </w:r>
    </w:p>
    <w:bookmarkEnd w:id="22"/>
    <w:bookmarkStart w:id="24" w:name="current-status"/>
    <w:p>
      <w:pPr>
        <w:pStyle w:val="Heading4"/>
      </w:pPr>
      <w:r>
        <w:t xml:space="preserve">Current Status</w:t>
      </w:r>
    </w:p>
    <w:p>
      <w:pPr>
        <w:pStyle w:val="FirstParagraph"/>
      </w:pPr>
      <w:r>
        <w:rPr>
          <w:i/>
          <w:iCs/>
        </w:rPr>
        <w:t xml:space="preserve">Delta Entry Timing</w:t>
      </w:r>
      <w:r>
        <w:t xml:space="preserve"> </w:t>
      </w:r>
      <w:r>
        <w:t xml:space="preserve">- Historically, as of Jan 27, 83% of length-at-date (LAD) winter-run have entered the Delta based on Knights Landing RST catch, 3% have exited the Delta based on Chipps Island Trawl Catch, and 2% of DNA confirmed winter-run have been salvaged.</w:t>
      </w:r>
    </w:p>
    <w:tbl>
      <w:tblPr>
        <w:tblStyle w:val="Table"/>
        <w:tblW w:type="pct" w:w="5000"/>
        <w:tblLayout w:type="fixed"/>
        <w:tblLook w:firstRow="0" w:lastRow="0" w:firstColumn="0" w:lastColumn="0" w:noHBand="0" w:noVBand="0" w:val="0000"/>
      </w:tblPr>
      <w:tblGrid>
        <w:gridCol w:w="7920"/>
      </w:tblGrid>
      <w:tr>
        <w:tc>
          <w:tcPr/>
          <w:bookmarkStart w:id="23" w:name="tbl-wr_timing_table"/>
          <w:p>
            <w:pPr>
              <w:jc w:val="center"/>
            </w:pPr>
            <w:pPr>
              <w:jc w:val="start"/>
              <w:spacing w:before="200"/>
              <w:pStyle w:val="ImageCaption"/>
            </w:pPr>
            <w:r>
              <w:t xml:space="preserve">Table 1: Average percent of annual emigrating population for unclipped LAD winter-run captured at monitoring locations and salvaged at Delta facilities for the past 10 years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Red Bluff Diversion Dam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Tisdale RST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Knights Landing RST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Sac Trawl (Sherwood)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Chipps Island Trawl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Salvage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 LAD Winter-run, Unclipped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 DNA Winter-run, Unclipped (Water Year)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r>
          </w:tbl>
          <w:bookmarkEnd w:id="23"/>
        </w:tc>
      </w:tr>
    </w:tbl>
    <w:p>
      <w:pPr>
        <w:pStyle w:val="BodyText"/>
      </w:pPr>
      <w:r>
        <w:rPr>
          <w:i/>
          <w:iCs/>
        </w:rPr>
        <w:t xml:space="preserve">Red Bluff Diversion Dam Passage Estimate</w:t>
      </w:r>
      <w:r>
        <w:t xml:space="preserve"> </w:t>
      </w:r>
      <w:r>
        <w:t xml:space="preserve">- As of Jan 21 estimated passage to date of LAD winter-run at Red Bluff Diversion is approximately 4.17 million fish.</w:t>
      </w:r>
      <w:r>
        <w:t xml:space="preserve"> </w:t>
      </w:r>
      <w:r>
        <w:rPr>
          <w:i/>
          <w:iCs/>
        </w:rPr>
        <w:t xml:space="preserve">Note that outmigration timing overlaps with spring-run migrating fish, and true winter-run abundance likely differs from these estimates.</w:t>
      </w:r>
    </w:p>
    <w:p>
      <w:pPr>
        <w:pStyle w:val="BodyText"/>
      </w:pPr>
      <w:r>
        <w:rPr>
          <w:i/>
          <w:iCs/>
        </w:rPr>
        <w:t xml:space="preserve">Delta Monitoring</w:t>
      </w:r>
      <w:r>
        <w:t xml:space="preserve"> </w:t>
      </w:r>
      <w:r>
        <w:t xml:space="preserve">- Total catch of LAD winter run at RSTs at Delta Entry (Tisdale, Knights Landing, Lower Sacramento River) between Jan 14 and Jan 25 is 41 individuals. Total catch at Sacramento Trawl and Beach Seines in the delta between Jan 14 and Jan 26 is 2 individuals. Total catch at Delta Exit at Chipps Island between Jan 20 and Jan 27 is 0 individuals.</w:t>
      </w:r>
    </w:p>
    <w:bookmarkEnd w:id="24"/>
    <w:bookmarkStart w:id="29" w:name="annual-loss"/>
    <w:p>
      <w:pPr>
        <w:pStyle w:val="Heading4"/>
      </w:pPr>
      <w:r>
        <w:t xml:space="preserve">Annual Loss</w:t>
      </w:r>
    </w:p>
    <w:p>
      <w:pPr>
        <w:pStyle w:val="FirstParagraph"/>
      </w:pPr>
      <w:r>
        <w:t xml:space="preserve">The annual Loss threshold for natural winter-run is 1% of the jpe or 10,575 fish. As of January 27, cumulative loss of genetically confirmed winter-run is 0 or 0.00% of the annual loss threshold. Cumulative loss in the past 7 days has been 0.</w:t>
      </w:r>
    </w:p>
    <w:tbl>
      <w:tblPr>
        <w:tblStyle w:val="Table"/>
        <w:tblW w:type="pct" w:w="5000"/>
        <w:tblLayout w:type="fixed"/>
        <w:tblLook w:firstRow="0" w:lastRow="0" w:firstColumn="0" w:lastColumn="0" w:noHBand="0" w:noVBand="0" w:val="0000"/>
      </w:tblPr>
      <w:tblGrid>
        <w:gridCol w:w="7920"/>
      </w:tblGrid>
      <w:tr>
        <w:tc>
          <w:tcPr/>
          <w:bookmarkStart w:id="28" w:name="fig-wr_loss"/>
          <w:p>
            <w:pPr>
              <w:pStyle w:val="Compact"/>
              <w:jc w:val="center"/>
            </w:pPr>
            <w:r>
              <w:drawing>
                <wp:inline>
                  <wp:extent cx="5943600" cy="4322618"/>
                  <wp:effectExtent b="0" l="0" r="0" t="0"/>
                  <wp:docPr descr="" title="" id="26" name="Picture"/>
                  <a:graphic>
                    <a:graphicData uri="http://schemas.openxmlformats.org/drawingml/2006/picture">
                      <pic:pic>
                        <pic:nvPicPr>
                          <pic:cNvPr descr="https://www.cbr.washington.edu/sacramento/workgroups/include_gen/WY2026/LossUnclip_1_DNAWinter_WY.png" id="27" name="Picture"/>
                          <pic:cNvPicPr>
                            <a:picLocks noChangeArrowheads="1" noChangeAspect="1"/>
                          </pic:cNvPicPr>
                        </pic:nvPicPr>
                        <pic:blipFill>
                          <a:blip r:embed="rId25"/>
                          <a:stretch>
                            <a:fillRect/>
                          </a:stretch>
                        </pic:blipFill>
                        <pic:spPr bwMode="auto">
                          <a:xfrm>
                            <a:off x="0" y="0"/>
                            <a:ext cx="5943600" cy="43226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Cumulative loss of natural-origin winter-run for WY 2026. Cumulative loss is based on genetically confirmed winter-run captured in salvage or length-at-date winter-run in which genetic confirmation was unable to be obtained</w:t>
            </w:r>
          </w:p>
          <w:bookmarkEnd w:id="28"/>
        </w:tc>
      </w:tr>
    </w:tbl>
    <w:bookmarkEnd w:id="29"/>
    <w:bookmarkStart w:id="42" w:name="stars"/>
    <w:p>
      <w:pPr>
        <w:pStyle w:val="Heading4"/>
      </w:pPr>
      <w:r>
        <w:t xml:space="preserve">STARS</w:t>
      </w:r>
    </w:p>
    <w:p>
      <w:pPr>
        <w:pStyle w:val="FirstParagraph"/>
      </w:pPr>
      <w:r>
        <w:t xml:space="preserve">The Delta STARS Model is an individual-based simulation model that predicts survival, travel time, and routing of juvenile salmon migrating through the Sacramento–San Joaquin River Delta. This model gives insight into survival and routing patterns of winter-run based on most current conditions.</w:t>
      </w:r>
    </w:p>
    <w:p>
      <w:pPr>
        <w:pStyle w:val="BodyText"/>
      </w:pPr>
      <w:r>
        <w:t xml:space="preserve">As of January 27, overall through delta STARS estimated survival probability (with 80% credible intervals) is 0.53 (0.45-0.6) placing it in the 67th percentile of historical STARS survival estimates for the month of January (WYs 2018-2025). STARS estimated routing and survival probabilities (with 80% credible intervals) into the interior delta are 0.12 (0.1-0.14) and 0.23 (0.1-0.38), respectively, corresponding to the 33rd and 65th percentiles of historical January estimates (WYs 2018-2025).</w:t>
      </w:r>
    </w:p>
    <w:tbl>
      <w:tblPr>
        <w:tblStyle w:val="Table"/>
        <w:tblW w:type="pct" w:w="5000"/>
        <w:tblLayout w:type="fixed"/>
        <w:tblLook w:firstRow="0" w:lastRow="0" w:firstColumn="0" w:lastColumn="0" w:noHBand="0" w:noVBand="0" w:val="0000"/>
      </w:tblPr>
      <w:tblGrid>
        <w:gridCol w:w="7920"/>
      </w:tblGrid>
      <w:tr>
        <w:tc>
          <w:tcPr/>
          <w:bookmarkStart w:id="33" w:name="fig-stars_survival"/>
          <w:p>
            <w:pPr>
              <w:pStyle w:val="Compact"/>
              <w:jc w:val="center"/>
            </w:pPr>
            <w:r>
              <w:drawing>
                <wp:inline>
                  <wp:extent cx="5943600" cy="3962400"/>
                  <wp:effectExtent b="0" l="0" r="0" t="0"/>
                  <wp:docPr descr="" title="" id="31" name="Picture"/>
                  <a:graphic>
                    <a:graphicData uri="http://schemas.openxmlformats.org/drawingml/2006/picture">
                      <pic:pic>
                        <pic:nvPicPr>
                          <pic:cNvPr descr="samt-assessment-v1_files/figure-docx/fig-stars_survival-1.png" id="32" name="Picture"/>
                          <pic:cNvPicPr>
                            <a:picLocks noChangeArrowheads="1" noChangeAspect="1"/>
                          </pic:cNvPicPr>
                        </pic:nvPicPr>
                        <pic:blipFill>
                          <a:blip r:embed="rId30"/>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Estimated overall winter-run survival from Knights Landing to Chipps Island. Black line indicates the current water-year, and other colored lines correspond to past water years</w:t>
            </w:r>
          </w:p>
          <w:bookmarkEnd w:id="33"/>
        </w:tc>
      </w:tr>
    </w:tbl>
    <w:tbl>
      <w:tblPr>
        <w:tblStyle w:val="Table"/>
        <w:tblW w:type="pct" w:w="5000"/>
        <w:tblLayout w:type="fixed"/>
        <w:tblLook w:firstRow="0" w:lastRow="0" w:firstColumn="0" w:lastColumn="0" w:noHBand="0" w:noVBand="0" w:val="0000"/>
      </w:tblPr>
      <w:tblGrid>
        <w:gridCol w:w="7920"/>
      </w:tblGrid>
      <w:tr>
        <w:tc>
          <w:tcPr/>
          <w:bookmarkStart w:id="37" w:name="fig-stars_id_survival"/>
          <w:p>
            <w:pPr>
              <w:pStyle w:val="Compact"/>
              <w:jc w:val="center"/>
            </w:pPr>
            <w:r>
              <w:drawing>
                <wp:inline>
                  <wp:extent cx="5943600" cy="3962400"/>
                  <wp:effectExtent b="0" l="0" r="0" t="0"/>
                  <wp:docPr descr="" title="" id="35" name="Picture"/>
                  <a:graphic>
                    <a:graphicData uri="http://schemas.openxmlformats.org/drawingml/2006/picture">
                      <pic:pic>
                        <pic:nvPicPr>
                          <pic:cNvPr descr="samt-assessment-v1_files/figure-docx/fig-stars_id_survival-1.png" id="36" name="Picture"/>
                          <pic:cNvPicPr>
                            <a:picLocks noChangeArrowheads="1" noChangeAspect="1"/>
                          </pic:cNvPicPr>
                        </pic:nvPicPr>
                        <pic:blipFill>
                          <a:blip r:embed="rId34"/>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Estimated survival from Knights Landing to Chipps Island of simulated winter-run cohorts that route through the interior Delta. Black line indicates the current water-year, and other colored lines correspond to past water years</w:t>
            </w:r>
          </w:p>
          <w:bookmarkEnd w:id="37"/>
        </w:tc>
      </w:tr>
    </w:tbl>
    <w:tbl>
      <w:tblPr>
        <w:tblStyle w:val="Table"/>
        <w:tblW w:type="pct" w:w="5000"/>
        <w:tblLayout w:type="fixed"/>
        <w:tblLook w:firstRow="0" w:lastRow="0" w:firstColumn="0" w:lastColumn="0" w:noHBand="0" w:noVBand="0" w:val="0000"/>
      </w:tblPr>
      <w:tblGrid>
        <w:gridCol w:w="7920"/>
      </w:tblGrid>
      <w:tr>
        <w:tc>
          <w:tcPr/>
          <w:bookmarkStart w:id="41" w:name="fig-stars_id_routing"/>
          <w:p>
            <w:pPr>
              <w:pStyle w:val="Compact"/>
              <w:jc w:val="center"/>
            </w:pPr>
            <w:r>
              <w:drawing>
                <wp:inline>
                  <wp:extent cx="5943600" cy="3962400"/>
                  <wp:effectExtent b="0" l="0" r="0" t="0"/>
                  <wp:docPr descr="" title="" id="39" name="Picture"/>
                  <a:graphic>
                    <a:graphicData uri="http://schemas.openxmlformats.org/drawingml/2006/picture">
                      <pic:pic>
                        <pic:nvPicPr>
                          <pic:cNvPr descr="samt-assessment-v1_files/figure-docx/fig-stars_id_routing-1.png" id="40" name="Picture"/>
                          <pic:cNvPicPr>
                            <a:picLocks noChangeArrowheads="1" noChangeAspect="1"/>
                          </pic:cNvPicPr>
                        </pic:nvPicPr>
                        <pic:blipFill>
                          <a:blip r:embed="rId38"/>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Estimated probability of winter-run routing into the interior Delta. Black line indicates the current water-year, and other colored lines correspond to past water years</w:t>
            </w:r>
          </w:p>
          <w:bookmarkEnd w:id="41"/>
        </w:tc>
      </w:tr>
    </w:tbl>
    <w:bookmarkEnd w:id="42"/>
    <w:bookmarkEnd w:id="43"/>
    <w:bookmarkStart w:id="47" w:name="hatchery-winter-run-chinook"/>
    <w:p>
      <w:pPr>
        <w:pStyle w:val="Heading3"/>
      </w:pPr>
      <w:r>
        <w:t xml:space="preserve">Hatchery Winter-run Chinook</w:t>
      </w:r>
    </w:p>
    <w:bookmarkStart w:id="44" w:name="hatchery-releases"/>
    <w:p>
      <w:pPr>
        <w:pStyle w:val="Heading4"/>
      </w:pPr>
      <w:r>
        <w:t xml:space="preserve">Hatchery Releases</w:t>
      </w:r>
    </w:p>
    <w:p>
      <w:pPr>
        <w:pStyle w:val="FirstParagraph"/>
      </w:pPr>
      <w:r>
        <w:t xml:space="preserve">To date, no winter-run Livingstone hatchery releases have occurred in WY 2026</w:t>
      </w:r>
    </w:p>
    <w:bookmarkEnd w:id="44"/>
    <w:bookmarkStart w:id="45" w:name="juvenile-production-estimate-1"/>
    <w:p>
      <w:pPr>
        <w:pStyle w:val="Heading4"/>
      </w:pPr>
      <w:r>
        <w:t xml:space="preserve">Juvenile Production Estimate</w:t>
      </w:r>
    </w:p>
    <w:p>
      <w:pPr>
        <w:pStyle w:val="FirstParagraph"/>
      </w:pPr>
      <w:r>
        <w:t xml:space="preserve">The Juvenile Production Estimate for hatchery winter-run is 130,096 based on current Livingston Stone production estimates.</w:t>
      </w:r>
      <w:r>
        <w:t xml:space="preserve"> </w:t>
      </w:r>
      <w:r>
        <w:rPr>
          <w:b/>
          <w:bCs/>
        </w:rPr>
        <w:t xml:space="preserve">Note: Physical releases have not yet occurred in WY 2026.</w:t>
      </w:r>
    </w:p>
    <w:bookmarkEnd w:id="45"/>
    <w:bookmarkStart w:id="46" w:name="annual-loss-1"/>
    <w:p>
      <w:pPr>
        <w:pStyle w:val="Heading4"/>
      </w:pPr>
      <w:r>
        <w:t xml:space="preserve">Annual Loss</w:t>
      </w:r>
    </w:p>
    <w:p>
      <w:pPr>
        <w:pStyle w:val="FirstParagraph"/>
      </w:pPr>
      <w:r>
        <w:t xml:space="preserve">To date, no loss has occurred as no hatchery winter-run have been released.</w:t>
      </w:r>
    </w:p>
    <w:bookmarkEnd w:id="46"/>
    <w:bookmarkEnd w:id="47"/>
    <w:bookmarkStart w:id="55" w:name="natural-origin-central-valley-steelhead"/>
    <w:p>
      <w:pPr>
        <w:pStyle w:val="Heading3"/>
      </w:pPr>
      <w:r>
        <w:t xml:space="preserve">Natural-origin Central Valley Steelhead</w:t>
      </w:r>
    </w:p>
    <w:bookmarkStart w:id="49" w:name="current-status-1"/>
    <w:p>
      <w:pPr>
        <w:pStyle w:val="Heading4"/>
      </w:pPr>
      <w:r>
        <w:t xml:space="preserve">Current Status</w:t>
      </w:r>
    </w:p>
    <w:p>
      <w:pPr>
        <w:pStyle w:val="FirstParagraph"/>
      </w:pPr>
      <w:r>
        <w:rPr>
          <w:i/>
          <w:iCs/>
        </w:rPr>
        <w:t xml:space="preserve">Delta Entry Timing</w:t>
      </w:r>
      <w:r>
        <w:t xml:space="preserve"> </w:t>
      </w:r>
      <w:r>
        <w:t xml:space="preserve">- Historically, as of Jan 27, 32% of CCV steelhead have entered the Delta based on Knights Landing RST catch, 4% have exited the Delta based on Chipps Island Trawl Catch, and 9% have been salvaged.</w:t>
      </w:r>
    </w:p>
    <w:tbl>
      <w:tblPr>
        <w:tblStyle w:val="Table"/>
        <w:tblW w:type="pct" w:w="5000"/>
        <w:tblLayout w:type="fixed"/>
        <w:tblLook w:firstRow="0" w:lastRow="0" w:firstColumn="0" w:lastColumn="0" w:noHBand="0" w:noVBand="0" w:val="0000"/>
      </w:tblPr>
      <w:tblGrid>
        <w:gridCol w:w="7920"/>
      </w:tblGrid>
      <w:tr>
        <w:tc>
          <w:tcPr/>
          <w:bookmarkStart w:id="48" w:name="tbl-sh_timing_table"/>
          <w:p>
            <w:pPr>
              <w:jc w:val="center"/>
            </w:pPr>
            <w:pPr>
              <w:jc w:val="start"/>
              <w:spacing w:before="200"/>
              <w:pStyle w:val="ImageCaption"/>
            </w:pPr>
            <w:r>
              <w:t xml:space="preserve">Table 2: Average percent of annual emigrating population for unclipped CCV steelhead captured at monitoring locations and salvaged at Delta facilities for the past 10 years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Red Bluff Diversion Dam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Tisdale RST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Knights Landing RST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Sac Trawl (Sherwood)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Chipps Island Trawl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Salvage</w:t>
                  </w:r>
                </w:p>
              </w:tc>
            </w:tr>
            <w:tr>
              <w:trPr>
                <w:trHeight w:val="36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Steelhead, Unclipped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r>
          </w:tbl>
          <w:bookmarkEnd w:id="48"/>
        </w:tc>
      </w:tr>
    </w:tbl>
    <w:p>
      <w:pPr>
        <w:pStyle w:val="BodyText"/>
      </w:pPr>
      <w:r>
        <w:rPr>
          <w:i/>
          <w:iCs/>
        </w:rPr>
        <w:t xml:space="preserve">Delta Monitoring</w:t>
      </w:r>
      <w:r>
        <w:t xml:space="preserve"> </w:t>
      </w:r>
      <w:r>
        <w:t xml:space="preserve">- Total catch of LAD winter run at RSTs at Delta Entry (Tisdale, Knights Landing, Lower Sacramento River) between Jan 14 and Jan 25 is 3 individuals. Total catch at Sacramento Trawl and Beach Seines in the delta between Jan 14 and Jan 26 is 0 individuals. Total catch at Delta Exit at Chipps Island between Jan 20 and Jan 27 is 0 individuals.</w:t>
      </w:r>
    </w:p>
    <w:bookmarkEnd w:id="49"/>
    <w:bookmarkStart w:id="54" w:name="annual-loss-2"/>
    <w:p>
      <w:pPr>
        <w:pStyle w:val="Heading4"/>
      </w:pPr>
      <w:r>
        <w:t xml:space="preserve">Annual Loss</w:t>
      </w:r>
    </w:p>
    <w:p>
      <w:pPr>
        <w:pStyle w:val="FirstParagraph"/>
      </w:pPr>
      <w:r>
        <w:t xml:space="preserve">As of January 27, cumulative loss of unclipped steelhead is 47 or 0.88% of the annual loss threshold. Cumulative loss in the past 7 days has been 127.</w:t>
      </w:r>
    </w:p>
    <w:tbl>
      <w:tblPr>
        <w:tblStyle w:val="Table"/>
        <w:tblW w:type="pct" w:w="5000"/>
        <w:tblLayout w:type="fixed"/>
        <w:tblLook w:firstRow="0" w:lastRow="0" w:firstColumn="0" w:lastColumn="0" w:noHBand="0" w:noVBand="0" w:val="0000"/>
      </w:tblPr>
      <w:tblGrid>
        <w:gridCol w:w="7920"/>
      </w:tblGrid>
      <w:tr>
        <w:tc>
          <w:tcPr/>
          <w:bookmarkStart w:id="53" w:name="fig-sh_loss"/>
          <w:p>
            <w:pPr>
              <w:pStyle w:val="Compact"/>
              <w:jc w:val="center"/>
            </w:pPr>
            <w:r>
              <w:drawing>
                <wp:inline>
                  <wp:extent cx="5943600" cy="4322618"/>
                  <wp:effectExtent b="0" l="0" r="0" t="0"/>
                  <wp:docPr descr="" title="" id="51" name="Picture"/>
                  <a:graphic>
                    <a:graphicData uri="http://schemas.openxmlformats.org/drawingml/2006/picture">
                      <pic:pic>
                        <pic:nvPicPr>
                          <pic:cNvPr descr="https://www.cbr.washington.edu/sacramento/workgroups/include_gen/WY2026/LossUnclip_2_Stlhd_WY.png" id="52" name="Picture"/>
                          <pic:cNvPicPr>
                            <a:picLocks noChangeArrowheads="1" noChangeAspect="1"/>
                          </pic:cNvPicPr>
                        </pic:nvPicPr>
                        <pic:blipFill>
                          <a:blip r:embed="rId50"/>
                          <a:stretch>
                            <a:fillRect/>
                          </a:stretch>
                        </pic:blipFill>
                        <pic:spPr bwMode="auto">
                          <a:xfrm>
                            <a:off x="0" y="0"/>
                            <a:ext cx="5943600" cy="43226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Cumulative loss of natural-origin steelhead for WY 2026</w:t>
            </w:r>
          </w:p>
          <w:bookmarkEnd w:id="53"/>
        </w:tc>
      </w:tr>
    </w:tbl>
    <w:bookmarkEnd w:id="54"/>
    <w:bookmarkEnd w:id="55"/>
    <w:bookmarkStart w:id="63" w:name="hatchery-origin-central-valley-steelhead"/>
    <w:p>
      <w:pPr>
        <w:pStyle w:val="Heading3"/>
      </w:pPr>
      <w:r>
        <w:t xml:space="preserve">Hatchery-origin Central Valley Steelhead</w:t>
      </w:r>
    </w:p>
    <w:bookmarkStart w:id="62" w:name="surrogate-releases"/>
    <w:p>
      <w:pPr>
        <w:pStyle w:val="Heading4"/>
      </w:pPr>
      <w:r>
        <w:t xml:space="preserve">Surrogate Releases</w:t>
      </w:r>
    </w:p>
    <w:p>
      <w:pPr>
        <w:pStyle w:val="FirstParagraph"/>
      </w:pPr>
      <w:r>
        <w:t xml:space="preserve">There have been a total of 5 releases totaling 1,373,848 steelhead in Water Year 2026. JPE for the hatchery releases as of today is 591,419 based on estimated survivals using forecasted water year types (see details in table below). The annual loss threshold, equal to 1% of the JPE, is currently 5,914, but is subject to change with additional steelhead releases.</w:t>
      </w:r>
    </w:p>
    <w:tbl>
      <w:tblPr>
        <w:tblStyle w:val="Table"/>
        <w:tblW w:type="pct" w:w="5000"/>
        <w:tblLayout w:type="fixed"/>
        <w:tblLook w:firstRow="0" w:lastRow="0" w:firstColumn="0" w:lastColumn="0" w:noHBand="0" w:noVBand="0" w:val="0000"/>
      </w:tblPr>
      <w:tblGrid>
        <w:gridCol w:w="7920"/>
      </w:tblGrid>
      <w:tr>
        <w:tc>
          <w:tcPr/>
          <w:bookmarkStart w:id="56" w:name="tbl-sh_clipped_table"/>
          <w:p>
            <w:pPr>
              <w:jc w:val="center"/>
            </w:pPr>
            <w:pPr>
              <w:jc w:val="start"/>
              <w:spacing w:before="200"/>
              <w:pStyle w:val="ImageCaption"/>
            </w:pPr>
            <w:r>
              <w:t xml:space="preserve">Table 3: Summary of steelhead hatchery releases in Water Year 2026. JPE calculated using hatchery-specific survival estimates to Delta entry from release location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Hatchery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 of Release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Released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Estimated Survival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Juvenile Production Estimate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NIM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2025-11-10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233,109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167,838</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Coleman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2025-12-15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555,720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211,174</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Coleman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2025-12-17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34,207</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2026-01-06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371,250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133,650</w:t>
                  </w:r>
                </w:p>
              </w:tc>
            </w:tr>
            <w:tr>
              <w:trPr>
                <w:trHeight w:val="360"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2026-01-09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123,750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44,550</w:t>
                  </w:r>
                </w:p>
              </w:tc>
            </w:tr>
          </w:tbl>
          <w:bookmarkEnd w:id="56"/>
        </w:tc>
      </w:tr>
    </w:tbl>
    <w:tbl>
      <w:tblPr>
        <w:tblStyle w:val="Table"/>
        <w:tblW w:type="pct" w:w="5000"/>
        <w:tblLayout w:type="fixed"/>
        <w:tblLook w:firstRow="0" w:lastRow="0" w:firstColumn="0" w:lastColumn="0" w:noHBand="0" w:noVBand="0" w:val="0000"/>
      </w:tblPr>
      <w:tblGrid>
        <w:gridCol w:w="7920"/>
      </w:tblGrid>
      <w:tr>
        <w:tc>
          <w:tcPr/>
          <w:bookmarkStart w:id="57" w:name="tbl-survival_estimates"/>
          <w:p>
            <w:pPr>
              <w:jc w:val="center"/>
            </w:pPr>
            <w:pPr>
              <w:jc w:val="start"/>
              <w:spacing w:before="200"/>
              <w:pStyle w:val="ImageCaption"/>
            </w:pPr>
            <w:r>
              <w:t xml:space="preserve">Table 4: Hatchery-specific survival estimates used for JPE calculations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Hatchery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Survival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Source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Coleman NFH</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 – 0.433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Sandstrom et al. 2020</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Feather River Hatchery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Kurth 2013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Nimbus Hatchery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0.62 –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Brodsky et al. 2020</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Mokelumne River Hatchery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 – 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Del Real et al. 2012</w:t>
                  </w:r>
                </w:p>
              </w:tc>
            </w:tr>
          </w:tbl>
          <w:bookmarkEnd w:id="57"/>
        </w:tc>
      </w:tr>
    </w:tbl>
    <w:p>
      <w:pPr>
        <w:pStyle w:val="BodyText"/>
      </w:pPr>
      <w:r>
        <w:t xml:space="preserve">Total loss of hatchery-origin steelhead is 280 or 4.73% of the annual loss threshold.</w:t>
      </w:r>
      <w:r>
        <w:t xml:space="preserve"> </w:t>
      </w:r>
      <w:r>
        <w:rPr>
          <w:i/>
          <w:iCs/>
        </w:rPr>
        <w:t xml:space="preserve">Note that hatchery origin of salvaged fish can not be determined at this time and salvage is based on the assumption of similar routing and survival probabilities of individual hatchery releases.</w:t>
      </w:r>
    </w:p>
    <w:tbl>
      <w:tblPr>
        <w:tblStyle w:val="Table"/>
        <w:tblW w:type="pct" w:w="5000"/>
        <w:tblLayout w:type="fixed"/>
        <w:tblLook w:firstRow="0" w:lastRow="0" w:firstColumn="0" w:lastColumn="0" w:noHBand="0" w:noVBand="0" w:val="0000"/>
      </w:tblPr>
      <w:tblGrid>
        <w:gridCol w:w="7920"/>
      </w:tblGrid>
      <w:tr>
        <w:tc>
          <w:tcPr/>
          <w:bookmarkStart w:id="61" w:name="fig-sh_hatch_loss"/>
          <w:p>
            <w:pPr>
              <w:pStyle w:val="Compact"/>
              <w:jc w:val="center"/>
            </w:pPr>
            <w:r>
              <w:drawing>
                <wp:inline>
                  <wp:extent cx="5943600" cy="4322618"/>
                  <wp:effectExtent b="0" l="0" r="0" t="0"/>
                  <wp:docPr descr="" title="" id="59" name="Picture"/>
                  <a:graphic>
                    <a:graphicData uri="http://schemas.openxmlformats.org/drawingml/2006/picture">
                      <pic:pic>
                        <pic:nvPicPr>
                          <pic:cNvPr descr="https://www.cbr.washington.edu/sacramento/workgroups/include_gen/WY2026/LossClipped_2_StlhdHatch_WY.png" id="60" name="Picture"/>
                          <pic:cNvPicPr>
                            <a:picLocks noChangeArrowheads="1" noChangeAspect="1"/>
                          </pic:cNvPicPr>
                        </pic:nvPicPr>
                        <pic:blipFill>
                          <a:blip r:embed="rId58"/>
                          <a:stretch>
                            <a:fillRect/>
                          </a:stretch>
                        </pic:blipFill>
                        <pic:spPr bwMode="auto">
                          <a:xfrm>
                            <a:off x="0" y="0"/>
                            <a:ext cx="5943600" cy="43226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Cumulative loss of hatchery steelhead for WY 2026</w:t>
            </w:r>
          </w:p>
          <w:bookmarkEnd w:id="61"/>
        </w:tc>
      </w:tr>
    </w:tbl>
    <w:bookmarkEnd w:id="62"/>
    <w:bookmarkEnd w:id="63"/>
    <w:bookmarkStart w:id="69" w:name="spring-run-chinook"/>
    <w:p>
      <w:pPr>
        <w:pStyle w:val="Heading3"/>
      </w:pPr>
      <w:r>
        <w:t xml:space="preserve">Spring-run Chinook</w:t>
      </w:r>
    </w:p>
    <w:bookmarkStart w:id="65" w:name="current-status-2"/>
    <w:p>
      <w:pPr>
        <w:pStyle w:val="Heading4"/>
      </w:pPr>
      <w:r>
        <w:t xml:space="preserve">Current Status</w:t>
      </w:r>
    </w:p>
    <w:p>
      <w:pPr>
        <w:pStyle w:val="FirstParagraph"/>
      </w:pPr>
      <w:r>
        <w:rPr>
          <w:i/>
          <w:iCs/>
        </w:rPr>
        <w:t xml:space="preserve">Delta Entry Timing</w:t>
      </w:r>
      <w:r>
        <w:t xml:space="preserve"> </w:t>
      </w:r>
      <w:r>
        <w:t xml:space="preserve">- Historically, as of Jan 27, 28% of LAD spring-run have entered the Delta based on Knights Landing RST catch, 0% have exited the Delta based on Chipps Island Trawl Catch, and 0% have been salvaged.</w:t>
      </w:r>
    </w:p>
    <w:tbl>
      <w:tblPr>
        <w:tblStyle w:val="Table"/>
        <w:tblW w:type="pct" w:w="5000"/>
        <w:tblLayout w:type="fixed"/>
        <w:tblLook w:firstRow="0" w:lastRow="0" w:firstColumn="0" w:lastColumn="0" w:noHBand="0" w:noVBand="0" w:val="0000"/>
      </w:tblPr>
      <w:tblGrid>
        <w:gridCol w:w="7920"/>
      </w:tblGrid>
      <w:tr>
        <w:tc>
          <w:tcPr/>
          <w:bookmarkStart w:id="64" w:name="tbl-sr_timing_table"/>
          <w:p>
            <w:pPr>
              <w:jc w:val="center"/>
            </w:pPr>
            <w:pPr>
              <w:jc w:val="start"/>
              <w:spacing w:before="200"/>
              <w:pStyle w:val="ImageCaption"/>
            </w:pPr>
            <w:r>
              <w:t xml:space="preserve">Table 5: Average percent of annual emigrating population for LAD spring-run Chinook salmon captured at monitoring locations and salvaged at Delta facilities for the past 10 years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Red Bluff Diversion Dam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Tisdale RST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Knights Landing RST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Sac Trawl (Sherwood)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Chipps Island Trawl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Salvage</w:t>
                  </w:r>
                </w:p>
              </w:tc>
            </w:tr>
            <w:tr>
              <w:trPr>
                <w:trHeight w:val="36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 LAD Spring-run, Unclipped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r>
          </w:tbl>
          <w:bookmarkEnd w:id="64"/>
        </w:tc>
      </w:tr>
    </w:tbl>
    <w:p>
      <w:pPr>
        <w:pStyle w:val="BodyText"/>
      </w:pPr>
      <w:r>
        <w:rPr>
          <w:i/>
          <w:iCs/>
        </w:rPr>
        <w:t xml:space="preserve">Red Bluff Diversion Dam Passage Estimate</w:t>
      </w:r>
      <w:r>
        <w:t xml:space="preserve"> </w:t>
      </w:r>
      <w:r>
        <w:t xml:space="preserve">- As of Jan 21 estimated passage to date of LAD spring-run at Red Bluff Diversion is approximately 0.02 million fish.</w:t>
      </w:r>
      <w:r>
        <w:t xml:space="preserve"> </w:t>
      </w:r>
      <w:r>
        <w:rPr>
          <w:i/>
          <w:iCs/>
        </w:rPr>
        <w:t xml:space="preserve">Note that outmigration timing overlaps with winter-run and fall-run outmigration, and true spring-run abundance likely differs from these estimates.</w:t>
      </w:r>
    </w:p>
    <w:p>
      <w:pPr>
        <w:pStyle w:val="BodyText"/>
      </w:pPr>
      <w:r>
        <w:rPr>
          <w:i/>
          <w:iCs/>
        </w:rPr>
        <w:t xml:space="preserve">Delta Monitoring</w:t>
      </w:r>
      <w:r>
        <w:t xml:space="preserve"> </w:t>
      </w:r>
      <w:r>
        <w:t xml:space="preserve">- Total catch of LAD winter run at RSTs at Delta Entry (Tisdale, Knights Landing, Lower Sacramento River) between Jan 14 and Jan 25 is 164 individuals. Total catch at Sacramento Trawl and Beach Seines in the delta between Jan 14 and Jan 26 is 0 individuals. Total catch at Delta Exit at Chipps Island between Jan 20 and Jan 27 is 0 individuals.</w:t>
      </w:r>
    </w:p>
    <w:bookmarkEnd w:id="65"/>
    <w:bookmarkStart w:id="67" w:name="spring-run-surrogate-releases"/>
    <w:p>
      <w:pPr>
        <w:pStyle w:val="Heading4"/>
      </w:pPr>
      <w:r>
        <w:t xml:space="preserve">Spring-run Surrogate Releases</w:t>
      </w:r>
    </w:p>
    <w:p>
      <w:pPr>
        <w:pStyle w:val="FirstParagraph"/>
      </w:pPr>
      <w:r>
        <w:t xml:space="preserve">A total of 805,323 spring-run surrogate fish have been released in Water Year 2026, with an estimated Juvenile Production Estimate (JPE) of 219,852 fish entering the Delta. This includes 805,323 Coleman Late-Fall Run Chinook (JPE: 219,852) released from Coleman National Fish Hatchery across 12 coded-wire tag groups. See details in table below.</w:t>
      </w:r>
    </w:p>
    <w:tbl>
      <w:tblPr>
        <w:tblStyle w:val="Table"/>
        <w:tblW w:type="pct" w:w="5000"/>
        <w:tblLayout w:type="fixed"/>
        <w:tblLook w:firstRow="0" w:lastRow="0" w:firstColumn="0" w:lastColumn="0" w:noHBand="0" w:noVBand="0" w:val="0000"/>
      </w:tblPr>
      <w:tblGrid>
        <w:gridCol w:w="7920"/>
      </w:tblGrid>
      <w:tr>
        <w:tc>
          <w:tcPr/>
          <w:bookmarkStart w:id="66" w:name="tbl-sr_surrogate_table"/>
          <w:p>
            <w:pPr>
              <w:jc w:val="center"/>
            </w:pPr>
            <w:pPr>
              <w:jc w:val="start"/>
              <w:spacing w:before="200"/>
              <w:pStyle w:val="ImageCaption"/>
            </w:pPr>
            <w:r>
              <w:t xml:space="preserve">Table 6: Spring-run Chinook salmon surrogate releases (all Coleman Late-Fall releases, both production and experimental)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Hatchery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Release Date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of CWT Fish Released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Confirmed Loss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CWT Codes</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Coleman NFH</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2025-11-13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Production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143,346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39,134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056808, 056809</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Coleman NFH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2025-11-17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Experimental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75,119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056810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Coleman NFH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2025-12-17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Production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468,876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053700, 056806, 056811, 056812, 056814, 056815, 056817</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Coleman NFH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2025-12-22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Experimental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056813</w:t>
                  </w:r>
                </w:p>
              </w:tc>
            </w:tr>
            <w:tr>
              <w:trPr>
                <w:trHeight w:val="360"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Coleman NFH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2026-01-08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Experimental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57,109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056816</w:t>
                  </w:r>
                </w:p>
              </w:tc>
            </w:tr>
          </w:tbl>
          <w:bookmarkEnd w:id="66"/>
        </w:tc>
      </w:tr>
    </w:tbl>
    <w:bookmarkEnd w:id="67"/>
    <w:bookmarkStart w:id="68" w:name="annual-loss-3"/>
    <w:p>
      <w:pPr>
        <w:pStyle w:val="Heading4"/>
      </w:pPr>
      <w:r>
        <w:t xml:space="preserve">Annual Loss</w:t>
      </w:r>
    </w:p>
    <w:p>
      <w:pPr>
        <w:pStyle w:val="FirstParagraph"/>
      </w:pPr>
      <w:r>
        <w:t xml:space="preserve">The annual loss threshold is 1% of the JPE entering the Delta, which equals 2,199 fish. As of January 27, cumulative loss is 1,019 fish or 46.34% of the annual loss threshold.</w:t>
      </w:r>
    </w:p>
    <w:bookmarkEnd w:id="68"/>
    <w:bookmarkEnd w:id="69"/>
    <w:bookmarkStart w:id="86" w:name="loss-prediction-and-trajectories"/>
    <w:p>
      <w:pPr>
        <w:pStyle w:val="Heading3"/>
      </w:pPr>
      <w:r>
        <w:t xml:space="preserve">Loss Prediction and Trajectories</w:t>
      </w:r>
    </w:p>
    <w:p>
      <w:pPr>
        <w:pStyle w:val="FirstParagraph"/>
      </w:pPr>
      <w:r>
        <w:t xml:space="preserve">The following figures display the cumulative loss trajectories relative to historical years (</w:t>
      </w:r>
      <w:r>
        <w:t xml:space="preserve">“Spaghetti Plots”</w:t>
      </w:r>
      <w:r>
        <w:t xml:space="preserve">) and the current loss predictor model outputs for winter-run Chinook salmon and steelhead.</w:t>
      </w:r>
    </w:p>
    <w:tbl>
      <w:tblPr>
        <w:tblStyle w:val="Table"/>
        <w:tblW w:type="pct" w:w="5000"/>
        <w:tblLayout w:type="fixed"/>
        <w:tblLook w:firstRow="0" w:lastRow="0" w:firstColumn="0" w:lastColumn="0" w:noHBand="0" w:noVBand="0" w:val="0000"/>
      </w:tblPr>
      <w:tblGrid>
        <w:gridCol w:w="7920"/>
      </w:tblGrid>
      <w:tr>
        <w:tc>
          <w:tcPr/>
          <w:bookmarkStart w:id="73" w:name="fig-wr-spaghetti"/>
          <w:p>
            <w:pPr>
              <w:pStyle w:val="Compact"/>
              <w:jc w:val="center"/>
            </w:pPr>
            <w:r>
              <w:drawing>
                <wp:inline>
                  <wp:extent cx="5943600" cy="4322618"/>
                  <wp:effectExtent b="0" l="0" r="0" t="0"/>
                  <wp:docPr descr="" title="" id="71" name="Picture"/>
                  <a:graphic>
                    <a:graphicData uri="http://schemas.openxmlformats.org/drawingml/2006/picture">
                      <pic:pic>
                        <pic:nvPicPr>
                          <pic:cNvPr descr="https://www.cbr.washington.edu/sacramento/workgroups/include_gen/WY2026/LossUnclip_1_Winter_currhist.png" id="72" name="Picture"/>
                          <pic:cNvPicPr>
                            <a:picLocks noChangeArrowheads="1" noChangeAspect="1"/>
                          </pic:cNvPicPr>
                        </pic:nvPicPr>
                        <pic:blipFill>
                          <a:blip r:embed="rId70"/>
                          <a:stretch>
                            <a:fillRect/>
                          </a:stretch>
                        </pic:blipFill>
                        <pic:spPr bwMode="auto">
                          <a:xfrm>
                            <a:off x="0" y="0"/>
                            <a:ext cx="5943600" cy="43226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Natural LAD winter-run Chinook salmon loss cumulative to date with historical years and annual loss threshold</w:t>
            </w:r>
          </w:p>
          <w:bookmarkEnd w:id="73"/>
        </w:tc>
      </w:tr>
    </w:tbl>
    <w:tbl>
      <w:tblPr>
        <w:tblStyle w:val="Table"/>
        <w:tblW w:type="pct" w:w="5000"/>
        <w:tblLayout w:type="fixed"/>
        <w:tblLook w:firstRow="0" w:lastRow="0" w:firstColumn="0" w:lastColumn="0" w:noHBand="0" w:noVBand="0" w:val="0000"/>
      </w:tblPr>
      <w:tblGrid>
        <w:gridCol w:w="7920"/>
      </w:tblGrid>
      <w:tr>
        <w:tc>
          <w:tcPr/>
          <w:bookmarkStart w:id="77" w:name="fig-sh-spaghetti"/>
          <w:p>
            <w:pPr>
              <w:pStyle w:val="Compact"/>
              <w:jc w:val="center"/>
            </w:pPr>
            <w:r>
              <w:drawing>
                <wp:inline>
                  <wp:extent cx="5943600" cy="4322618"/>
                  <wp:effectExtent b="0" l="0" r="0" t="0"/>
                  <wp:docPr descr="" title="" id="75" name="Picture"/>
                  <a:graphic>
                    <a:graphicData uri="http://schemas.openxmlformats.org/drawingml/2006/picture">
                      <pic:pic>
                        <pic:nvPicPr>
                          <pic:cNvPr descr="https://www.cbr.washington.edu/sacramento/workgroups/include_gen/WY2026/LossUnclip_2_Stlhd_currhist.png" id="76" name="Picture"/>
                          <pic:cNvPicPr>
                            <a:picLocks noChangeArrowheads="1" noChangeAspect="1"/>
                          </pic:cNvPicPr>
                        </pic:nvPicPr>
                        <pic:blipFill>
                          <a:blip r:embed="rId74"/>
                          <a:stretch>
                            <a:fillRect/>
                          </a:stretch>
                        </pic:blipFill>
                        <pic:spPr bwMode="auto">
                          <a:xfrm>
                            <a:off x="0" y="0"/>
                            <a:ext cx="5943600" cy="43226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Natural Central Valley steelhead loss cumulative to date with historical years and annual loss threshold</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wr-lsp"/>
          <w:p>
            <w:pPr>
              <w:pStyle w:val="Compact"/>
              <w:jc w:val="center"/>
            </w:pPr>
            <w:r>
              <w:drawing>
                <wp:inline>
                  <wp:extent cx="5943600" cy="3241963"/>
                  <wp:effectExtent b="0" l="0" r="0" t="0"/>
                  <wp:docPr descr="" title="" id="79" name="Picture"/>
                  <a:graphic>
                    <a:graphicData uri="http://schemas.openxmlformats.org/drawingml/2006/picture">
                      <pic:pic>
                        <pic:nvPicPr>
                          <pic:cNvPr descr="https://www.cbr.washington.edu/sacramento/workgroups/include_gen/WY2026/samt_lsp_winter.png" id="80" name="Picture"/>
                          <pic:cNvPicPr>
                            <a:picLocks noChangeArrowheads="1" noChangeAspect="1"/>
                          </pic:cNvPicPr>
                        </pic:nvPicPr>
                        <pic:blipFill>
                          <a:blip r:embed="rId78"/>
                          <a:stretch>
                            <a:fillRect/>
                          </a:stretch>
                        </pic:blipFill>
                        <pic:spPr bwMode="auto">
                          <a:xfrm>
                            <a:off x="0" y="0"/>
                            <a:ext cx="5943600" cy="3241963"/>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Estimates of winter-run Chinook loss generated by Loss and Salvage Predictor tool</w:t>
            </w:r>
          </w:p>
          <w:bookmarkEnd w:id="81"/>
        </w:tc>
      </w:tr>
    </w:tbl>
    <w:tbl>
      <w:tblPr>
        <w:tblStyle w:val="Table"/>
        <w:tblW w:type="pct" w:w="5000"/>
        <w:tblLayout w:type="fixed"/>
        <w:tblLook w:firstRow="0" w:lastRow="0" w:firstColumn="0" w:lastColumn="0" w:noHBand="0" w:noVBand="0" w:val="0000"/>
      </w:tblPr>
      <w:tblGrid>
        <w:gridCol w:w="7920"/>
      </w:tblGrid>
      <w:tr>
        <w:tc>
          <w:tcPr/>
          <w:bookmarkStart w:id="85" w:name="fig-sh-lsp"/>
          <w:p>
            <w:pPr>
              <w:pStyle w:val="Compact"/>
              <w:jc w:val="center"/>
            </w:pPr>
            <w:r>
              <w:drawing>
                <wp:inline>
                  <wp:extent cx="5943600" cy="3241963"/>
                  <wp:effectExtent b="0" l="0" r="0" t="0"/>
                  <wp:docPr descr="" title="" id="83" name="Picture"/>
                  <a:graphic>
                    <a:graphicData uri="http://schemas.openxmlformats.org/drawingml/2006/picture">
                      <pic:pic>
                        <pic:nvPicPr>
                          <pic:cNvPr descr="https://www.cbr.washington.edu/sacramento/workgroups/include_gen/WY2026/samt_lsp_stlhd.png" id="84" name="Picture"/>
                          <pic:cNvPicPr>
                            <a:picLocks noChangeArrowheads="1" noChangeAspect="1"/>
                          </pic:cNvPicPr>
                        </pic:nvPicPr>
                        <pic:blipFill>
                          <a:blip r:embed="rId82"/>
                          <a:stretch>
                            <a:fillRect/>
                          </a:stretch>
                        </pic:blipFill>
                        <pic:spPr bwMode="auto">
                          <a:xfrm>
                            <a:off x="0" y="0"/>
                            <a:ext cx="5943600" cy="324196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Estimates of steelhead loss generated by Loss and Salvage Predictor tool</w:t>
            </w:r>
          </w:p>
          <w:bookmarkEnd w:id="85"/>
        </w:tc>
      </w:tr>
    </w:tbl>
    <w:bookmarkEnd w:id="86"/>
    <w:bookmarkStart w:id="87" w:name="evaluation"/>
    <w:p>
      <w:pPr>
        <w:pStyle w:val="Heading3"/>
      </w:pPr>
      <w:r>
        <w:t xml:space="preserve">Evaluation</w:t>
      </w:r>
    </w:p>
    <w:p>
      <w:pPr>
        <w:numPr>
          <w:ilvl w:val="0"/>
          <w:numId w:val="1002"/>
        </w:numPr>
      </w:pPr>
      <w:r>
        <w:rPr>
          <w:b/>
          <w:bCs/>
        </w:rPr>
        <w:t xml:space="preserve">What is the probability of exceeding natural or hatchery winter-run Chinook salmon loss thresholds in the upcoming week?</w:t>
      </w:r>
    </w:p>
    <w:p>
      <w:pPr>
        <w:numPr>
          <w:ilvl w:val="0"/>
          <w:numId w:val="1000"/>
        </w:numPr>
      </w:pPr>
      <w:r>
        <w:rPr>
          <w:b/>
          <w:bCs/>
        </w:rPr>
        <w:t xml:space="preserve">LOW RISK:</w:t>
      </w:r>
      <w:r>
        <w:t xml:space="preserve"> </w:t>
      </w:r>
      <w:r>
        <w:t xml:space="preserve">Cumulative loss is currently 0% of the threshold. Current trajectory suggests the threshold is unlikely to be exceeded in the upcoming week.</w:t>
      </w:r>
    </w:p>
    <w:p>
      <w:pPr>
        <w:numPr>
          <w:ilvl w:val="0"/>
          <w:numId w:val="1002"/>
        </w:numPr>
      </w:pPr>
      <w:r>
        <w:rPr>
          <w:b/>
          <w:bCs/>
        </w:rPr>
        <w:t xml:space="preserve">What is the probability of spring-run hatchery Chinook salmon loss thresholds in the upcoming week?</w:t>
      </w:r>
    </w:p>
    <w:p>
      <w:pPr>
        <w:numPr>
          <w:ilvl w:val="0"/>
          <w:numId w:val="1000"/>
        </w:numPr>
      </w:pPr>
      <w:r>
        <w:rPr>
          <w:b/>
          <w:bCs/>
        </w:rPr>
        <w:t xml:space="preserve">LOW RISK:</w:t>
      </w:r>
      <w:r>
        <w:t xml:space="preserve"> </w:t>
      </w:r>
      <w:r>
        <w:t xml:space="preserve">Cumulative loss is currently 46.3% of the threshold. Current trajectory suggests the threshold is unlikely to be exceeded in the upcoming week.</w:t>
      </w:r>
    </w:p>
    <w:p>
      <w:pPr>
        <w:numPr>
          <w:ilvl w:val="0"/>
          <w:numId w:val="1002"/>
        </w:numPr>
      </w:pPr>
      <w:r>
        <w:rPr>
          <w:b/>
          <w:bCs/>
        </w:rPr>
        <w:t xml:space="preserve">What is the probability of hatchery steelhead loss thresholds in the upcoming week?</w:t>
      </w:r>
    </w:p>
    <w:p>
      <w:pPr>
        <w:numPr>
          <w:ilvl w:val="0"/>
          <w:numId w:val="1000"/>
        </w:numPr>
      </w:pPr>
      <w:r>
        <w:rPr>
          <w:b/>
          <w:bCs/>
        </w:rPr>
        <w:t xml:space="preserve">LOW RISK:</w:t>
      </w:r>
      <w:r>
        <w:t xml:space="preserve"> </w:t>
      </w:r>
      <w:r>
        <w:t xml:space="preserve">Cumulative loss is currently 4.7% of the threshold. Current trajectory suggests the threshold is unlikely to be exceeded in the upcoming week.</w:t>
      </w:r>
    </w:p>
    <w:p>
      <w:r>
        <w:br w:type="page"/>
      </w:r>
    </w:p>
    <w:bookmarkEnd w:id="87"/>
    <w:bookmarkStart w:id="93" w:name="references"/>
    <w:p>
      <w:pPr>
        <w:pStyle w:val="Heading3"/>
      </w:pPr>
      <w:r>
        <w:t xml:space="preserve">References</w:t>
      </w:r>
    </w:p>
    <w:bookmarkStart w:id="92" w:name="refs"/>
    <w:bookmarkStart w:id="88" w:name="ref-brodsky2020"/>
    <w:p>
      <w:pPr>
        <w:pStyle w:val="Bibliography"/>
      </w:pPr>
      <w:r>
        <w:t xml:space="preserve">Brodsky, A., Zeug, S. C., Nelson, J., Hannon, J., Anders, P. J., &amp; Cavallo, B. J. (2020). Does broodstock source affect post-release survival of steelhead? Implications of replacing a non-native hatchery stock for recovery.</w:t>
      </w:r>
      <w:r>
        <w:t xml:space="preserve"> </w:t>
      </w:r>
      <w:r>
        <w:rPr>
          <w:i/>
          <w:iCs/>
        </w:rPr>
        <w:t xml:space="preserve">Environmental Biology of Fishes</w:t>
      </w:r>
      <w:r>
        <w:t xml:space="preserve">,</w:t>
      </w:r>
      <w:r>
        <w:t xml:space="preserve"> </w:t>
      </w:r>
      <w:r>
        <w:rPr>
          <w:i/>
          <w:iCs/>
        </w:rPr>
        <w:t xml:space="preserve">103</w:t>
      </w:r>
      <w:r>
        <w:t xml:space="preserve">(5), 437–453.</w:t>
      </w:r>
    </w:p>
    <w:bookmarkEnd w:id="88"/>
    <w:bookmarkStart w:id="89" w:name="ref-delreal2012"/>
    <w:p>
      <w:pPr>
        <w:pStyle w:val="Bibliography"/>
      </w:pPr>
      <w:r>
        <w:t xml:space="preserve">Del Real, S. C., Workman, M., &amp; Merz, J. (2012). Migration characteristics of hatchery and natural-origin oncorhynchus mykiss from the lower mokelumne river, california.</w:t>
      </w:r>
      <w:r>
        <w:t xml:space="preserve"> </w:t>
      </w:r>
      <w:r>
        <w:rPr>
          <w:i/>
          <w:iCs/>
        </w:rPr>
        <w:t xml:space="preserve">Environmental Biology of Fishes</w:t>
      </w:r>
      <w:r>
        <w:t xml:space="preserve">,</w:t>
      </w:r>
      <w:r>
        <w:t xml:space="preserve"> </w:t>
      </w:r>
      <w:r>
        <w:rPr>
          <w:i/>
          <w:iCs/>
        </w:rPr>
        <w:t xml:space="preserve">94</w:t>
      </w:r>
      <w:r>
        <w:t xml:space="preserve">(2), 363–375.</w:t>
      </w:r>
    </w:p>
    <w:bookmarkEnd w:id="89"/>
    <w:bookmarkStart w:id="90" w:name="ref-kurth2013"/>
    <w:p>
      <w:pPr>
        <w:pStyle w:val="Bibliography"/>
      </w:pPr>
      <w:r>
        <w:t xml:space="preserve">Kurth, R. (2013).</w:t>
      </w:r>
      <w:r>
        <w:t xml:space="preserve"> </w:t>
      </w:r>
      <w:r>
        <w:rPr>
          <w:i/>
          <w:iCs/>
        </w:rPr>
        <w:t xml:space="preserve">Downstream migration success of feather river fish hatchery steelhead smolts under different release strategies</w:t>
      </w:r>
      <w:r>
        <w:t xml:space="preserve">.</w:t>
      </w:r>
    </w:p>
    <w:bookmarkEnd w:id="90"/>
    <w:bookmarkStart w:id="91" w:name="ref-sandstrom2020"/>
    <w:p>
      <w:pPr>
        <w:pStyle w:val="Bibliography"/>
      </w:pPr>
      <w:r>
        <w:t xml:space="preserve">Sandstrom, P. T., Ammann, A. J., Michel, C., et al. (2020). Low river survival of juvenile steelhead in the sacramento river watershed.</w:t>
      </w:r>
      <w:r>
        <w:t xml:space="preserve"> </w:t>
      </w:r>
      <w:r>
        <w:rPr>
          <w:i/>
          <w:iCs/>
        </w:rPr>
        <w:t xml:space="preserve">Environmental Biology of Fishes</w:t>
      </w:r>
      <w:r>
        <w:t xml:space="preserve">,</w:t>
      </w:r>
      <w:r>
        <w:t xml:space="preserve"> </w:t>
      </w:r>
      <w:r>
        <w:rPr>
          <w:i/>
          <w:iCs/>
        </w:rPr>
        <w:t xml:space="preserve">103</w:t>
      </w:r>
      <w:r>
        <w:t xml:space="preserve">(5), 531–541.</w:t>
      </w:r>
    </w:p>
    <w:bookmarkEnd w:id="91"/>
    <w:bookmarkEnd w:id="92"/>
    <w:bookmarkEnd w:id="93"/>
    <w:bookmarkEnd w:id="94"/>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Heading1" w:type="paragraph">
    <w:name w:val="Heading 1"/>
    <w:basedOn w:val="Normal"/>
    <w:next w:val="Normal"/>
    <w:qFormat/>
    <w:pPr>
      <w:spacing w:after="120" w:before="240"/>
      <w:outlineLvl w:val="0"/>
    </w:pPr>
    <w:rPr>
      <w:rFonts w:ascii="Calibri" w:cs="Calibri" w:eastAsia="Calibri" w:hAnsi="Calibri"/>
      <w:b/>
      <w:bCs/>
      <w:color w:val="000000"/>
      <w:sz w:val="28"/>
      <w:szCs w:val="28"/>
    </w:rPr>
  </w:style>
  <w:style w:styleId="Heading2" w:type="paragraph">
    <w:name w:val="Heading 2"/>
    <w:basedOn w:val="Normal"/>
    <w:next w:val="Normal"/>
    <w:qFormat/>
    <w:pPr>
      <w:spacing w:after="100" w:before="200"/>
      <w:outlineLvl w:val="1"/>
    </w:pPr>
    <w:rPr>
      <w:rFonts w:ascii="Calibri" w:cs="Calibri" w:eastAsia="Calibri" w:hAnsi="Calibri"/>
      <w:b/>
      <w:bCs/>
      <w:color w:val="000000"/>
      <w:sz w:val="26"/>
      <w:szCs w:val="26"/>
    </w:rPr>
  </w:style>
  <w:style w:styleId="Heading3" w:type="paragraph">
    <w:name w:val="Heading 3"/>
    <w:basedOn w:val="Normal"/>
    <w:next w:val="Normal"/>
    <w:qFormat/>
    <w:pPr>
      <w:spacing w:after="80" w:before="160"/>
      <w:outlineLvl w:val="2"/>
    </w:pPr>
    <w:rPr>
      <w:rFonts w:ascii="Calibri" w:cs="Calibri" w:eastAsia="Calibri" w:hAnsi="Calibri"/>
      <w:b/>
      <w:bCs/>
      <w:color w:val="000000"/>
      <w:sz w:val="24"/>
      <w:szCs w:val="24"/>
    </w:rPr>
  </w:style>
  <w:style w:styleId="Heading4" w:type="paragraph">
    <w:name w:val="Heading 4"/>
    <w:basedOn w:val="Normal"/>
    <w:next w:val="Normal"/>
    <w:qFormat/>
    <w:pPr>
      <w:spacing w:after="60" w:before="120"/>
      <w:outlineLvl w:val="3"/>
    </w:pPr>
    <w:rPr>
      <w:rFonts w:ascii="Calibri" w:cs="Calibri" w:eastAsia="Calibri" w:hAnsi="Calibri"/>
      <w:b/>
      <w:bCs/>
      <w:i/>
      <w:iCs/>
      <w:color w:val="000000"/>
      <w:sz w:val="22"/>
      <w:szCs w:val="22"/>
    </w:rPr>
  </w:style>
  <w:style w:styleId="Title" w:type="paragraph">
    <w:name w:val="Title"/>
    <w:basedOn w:val="Normal"/>
    <w:next w:val="Normal"/>
    <w:qFormat/>
    <w:pPr>
      <w:spacing w:after="240" w:before="0"/>
      <w:jc w:val="center"/>
    </w:pPr>
    <w:rPr>
      <w:rFonts w:ascii="Calibri" w:cs="Calibri" w:eastAsia="Calibri" w:hAnsi="Calibri"/>
      <w:b/>
      <w:bCs/>
      <w:color w:val="000000"/>
      <w:sz w:val="32"/>
      <w:szCs w:val="32"/>
    </w:rPr>
  </w:style>
  <w:style w:styleId="Caption" w:type="paragraph">
    <w:name w:val="Caption"/>
    <w:basedOn w:val="Normal"/>
    <w:next w:val="Normal"/>
    <w:pPr>
      <w:spacing w:after="60" w:before="60"/>
      <w:jc w:val="left"/>
    </w:pPr>
    <w:rPr>
      <w:rFonts w:ascii="Calibri" w:cs="Calibri" w:eastAsia="Calibri" w:hAnsi="Calibri"/>
      <w:i/>
      <w:iCs/>
      <w:color w:val="000000"/>
      <w:sz w:val="22"/>
      <w:szCs w:val="22"/>
    </w:rPr>
  </w:style>
  <w:style w:styleId="TableCaption" w:type="paragraph">
    <w:name w:val="Table Caption"/>
    <w:basedOn w:val="Caption"/>
    <w:next w:val="Normal"/>
    <w:pPr>
      <w:spacing w:after="60" w:before="60"/>
      <w:jc w:val="left"/>
    </w:pPr>
    <w:rPr>
      <w:rFonts w:ascii="Calibri" w:cs="Calibri" w:eastAsia="Calibri" w:hAnsi="Calibri"/>
      <w:i/>
      <w:iCs/>
      <w:color w:val="000000"/>
      <w:sz w:val="22"/>
      <w:szCs w:val="22"/>
    </w:rPr>
  </w:style>
  <w:style w:styleId="Normal" w:type="paragraph">
    <w:name w:val="Normal"/>
    <w:pPr>
      <w:spacing w:after="0" w:before="0" w:line="240"/>
    </w:pPr>
    <w:rPr>
      <w:rFonts w:ascii="Calibri" w:cs="Calibri" w:eastAsia="Calibri" w:hAnsi="Calibri"/>
      <w:color w:val="000000"/>
      <w:sz w:val="22"/>
      <w:szCs w:val="22"/>
    </w:rPr>
  </w:style>
  <w:style w:styleId="Bibliography" w:type="paragraph">
    <w:name w:val="Bibliography"/>
    <w:basedOn w:val="Normal"/>
    <w:next w:val="Bibliography"/>
    <w:pPr>
      <w:spacing w:after="0" w:before="0" w:line="240"/>
      <w:ind w:hanging="720" w:left="720"/>
    </w:pPr>
    <w:rPr>
      <w:rFonts w:ascii="Calibri" w:cs="Calibri" w:eastAsia="Calibri" w:hAnsi="Calibri"/>
      <w:color w:val="000000"/>
      <w:sz w:val="22"/>
      <w:szCs w:val="22"/>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25" Target="media/rId25.png" /><Relationship Type="http://schemas.openxmlformats.org/officeDocument/2006/relationships/image" Id="rId70" Target="media/rId70.png" /><Relationship Type="http://schemas.openxmlformats.org/officeDocument/2006/relationships/image" Id="rId50" Target="media/rId50.png" /><Relationship Type="http://schemas.openxmlformats.org/officeDocument/2006/relationships/image" Id="rId74" Target="media/rId74.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hyperlink" Id="rId20" Target="https://www.cbr.washington.edu/sacramento/workgroups/salmon_monitoring.html" TargetMode="External" /></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Relationship Type="http://schemas.openxmlformats.org/officeDocument/2006/relationships/hyperlink" Id="rId20" Target="https://www.cbr.washington.edu/sacramento/workgroups/salmon_monitori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2026-01-29T01:26:14Z</dcterms:created>
  <dcterms:modified xsi:type="dcterms:W3CDTF">2026-01-29T01:26:14Z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ocite">
    <vt:lpwstr>@*</vt:lpwstr>
  </property>
  <property fmtid="{D5CDD505-2E9C-101B-9397-08002B2CF9AE}" pid="10" name="toc-title">
    <vt:lpwstr>Table of contents</vt:lpwstr>
  </property>
</Properties>
</file>