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5.png" ContentType="image/png"/>
  <Override PartName="/word/media/rId45.png" ContentType="image/png"/>
  <Override PartName="/word/media/rId30.png" ContentType="image/png"/>
  <Override PartName="/word/media/rId25.png" ContentType="image/png"/>
  <Override PartName="/word/media/rId60.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6826eb71b2e7ccf0cae7c428170c7924ae60314"/>
    <w:p>
      <w:pPr>
        <w:pStyle w:val="Heading2"/>
      </w:pPr>
      <w:r>
        <w:t xml:space="preserve">Weekly Assessment for Delta Operations on ESA and CESA-listed Osmerids</w:t>
      </w:r>
    </w:p>
    <w:p>
      <w:pPr>
        <w:pStyle w:val="FirstParagraph"/>
      </w:pPr>
      <w:r>
        <w:t xml:space="preserve">Last updated:</w:t>
      </w:r>
      <w:r>
        <w:t xml:space="preserve"> </w:t>
      </w:r>
      <w:r>
        <w:rPr>
          <w:i/>
          <w:iCs/>
        </w:rPr>
        <w:t xml:space="preserve">January 09, 2026</w:t>
      </w:r>
    </w:p>
    <w:bookmarkStart w:id="20" w:name="executive-summary"/>
    <w:p>
      <w:pPr>
        <w:pStyle w:val="Heading3"/>
      </w:pPr>
      <w:r>
        <w:t xml:space="preserve">Executive Summary</w:t>
      </w:r>
    </w:p>
    <w:p>
      <w:pPr>
        <w:pStyle w:val="Compact"/>
        <w:numPr>
          <w:ilvl w:val="0"/>
          <w:numId w:val="1001"/>
        </w:numPr>
      </w:pPr>
      <w:r>
        <w:t xml:space="preserve">First flush conditions were met on 12/23/25, and the action was implemented on 12/25/25.</w:t>
      </w:r>
    </w:p>
    <w:p>
      <w:pPr>
        <w:pStyle w:val="Compact"/>
        <w:numPr>
          <w:ilvl w:val="0"/>
          <w:numId w:val="1001"/>
        </w:numPr>
      </w:pPr>
      <w:r>
        <w:t xml:space="preserve">The First flush action implementation period will end on 1/7/26, then other entrainment management actions will become active.</w:t>
      </w:r>
    </w:p>
    <w:p>
      <w:pPr>
        <w:pStyle w:val="Compact"/>
        <w:numPr>
          <w:ilvl w:val="0"/>
          <w:numId w:val="1001"/>
        </w:numPr>
      </w:pPr>
      <w:r>
        <w:t xml:space="preserve">Delta smelt are primarily distributed west of the confluence, in Suisun Marsh</w:t>
      </w:r>
    </w:p>
    <w:p>
      <w:pPr>
        <w:pStyle w:val="Compact"/>
        <w:numPr>
          <w:ilvl w:val="0"/>
          <w:numId w:val="1001"/>
        </w:numPr>
      </w:pPr>
      <w:r>
        <w:t xml:space="preserve">No Delta smelt or longfin smelt salvage has been observed this water year</w:t>
      </w:r>
    </w:p>
    <w:p>
      <w:pPr>
        <w:pStyle w:val="Compact"/>
        <w:numPr>
          <w:ilvl w:val="0"/>
          <w:numId w:val="1001"/>
        </w:numPr>
      </w:pPr>
      <w:r>
        <w:t xml:space="preserve">Turbidity in the central/south Delta is high</w:t>
      </w:r>
    </w:p>
    <w:bookmarkEnd w:id="20"/>
    <w:bookmarkStart w:id="22" w:name="operational-and-regulatory-conditions"/>
    <w:p>
      <w:pPr>
        <w:pStyle w:val="Heading3"/>
      </w:pPr>
      <w:r>
        <w:t xml:space="preserve">Operational and Regulatory Conditions</w:t>
      </w:r>
    </w:p>
    <w:p>
      <w:pPr>
        <w:pStyle w:val="Compact"/>
        <w:numPr>
          <w:ilvl w:val="0"/>
          <w:numId w:val="1002"/>
        </w:numPr>
      </w:pPr>
      <w:r>
        <w:t xml:space="preserve">See current Weekly Fish and Water Operations Outlook document.</w:t>
      </w:r>
    </w:p>
    <w:p>
      <w:pPr>
        <w:pStyle w:val="Compact"/>
        <w:numPr>
          <w:ilvl w:val="0"/>
          <w:numId w:val="1002"/>
        </w:numPr>
      </w:pPr>
      <w:r>
        <w:t xml:space="preserve">Additional information also available on the</w:t>
      </w:r>
      <w:r>
        <w:t xml:space="preserve"> </w:t>
      </w:r>
      <w:hyperlink r:id="rId21">
        <w:r>
          <w:rPr>
            <w:rStyle w:val="Hyperlink"/>
          </w:rPr>
          <w:t xml:space="preserve">SacPAS SMT page</w:t>
        </w:r>
      </w:hyperlink>
      <w:r>
        <w:t xml:space="preserve">.</w:t>
      </w:r>
    </w:p>
    <w:bookmarkEnd w:id="22"/>
    <w:bookmarkStart w:id="53" w:name="delta-smelt"/>
    <w:p>
      <w:pPr>
        <w:pStyle w:val="Heading3"/>
      </w:pPr>
      <w:r>
        <w:t xml:space="preserve">Delta smelt</w:t>
      </w:r>
    </w:p>
    <w:bookmarkStart w:id="34" w:name="biological"/>
    <w:p>
      <w:pPr>
        <w:pStyle w:val="Heading4"/>
      </w:pPr>
      <w:r>
        <w:t xml:space="preserve">Biological</w:t>
      </w:r>
    </w:p>
    <w:p>
      <w:pPr>
        <w:numPr>
          <w:ilvl w:val="0"/>
          <w:numId w:val="1003"/>
        </w:numPr>
      </w:pPr>
      <w:r>
        <w:rPr>
          <w:b/>
          <w:bCs/>
        </w:rPr>
        <w:t xml:space="preserve">Delta smelt life stages:</w:t>
      </w:r>
      <w:r>
        <w:t xml:space="preserve"> </w:t>
      </w:r>
      <w:r>
        <w:t xml:space="preserve">Adult, Juvenile</w:t>
      </w:r>
    </w:p>
    <w:p>
      <w:pPr>
        <w:numPr>
          <w:ilvl w:val="0"/>
          <w:numId w:val="1003"/>
        </w:numPr>
      </w:pPr>
      <w:r>
        <w:rPr>
          <w:b/>
          <w:bCs/>
        </w:rPr>
        <w:t xml:space="preserve">Abundance estimate:</w:t>
      </w:r>
      <w:r>
        <w:t xml:space="preserve"> </w:t>
      </w:r>
      <w:r>
        <w:t xml:space="preserve">6821 (95% CL: 1,477 to 20,185) as of the week of December 29, 2025–January 2, 2026</w:t>
      </w:r>
    </w:p>
    <w:p>
      <w:pPr>
        <w:numPr>
          <w:ilvl w:val="0"/>
          <w:numId w:val="1003"/>
        </w:numPr>
      </w:pPr>
      <w:r>
        <w:rPr>
          <w:b/>
          <w:bCs/>
        </w:rPr>
        <w:t xml:space="preserve">Releases:</w:t>
      </w:r>
      <w:r>
        <w:t xml:space="preserve"> </w:t>
      </w:r>
      <w:r>
        <w:t xml:space="preserve">A total of 163,349 cultured Delta smelt have been released for WY 2026. The most recent release of 24,606 fish occurred in Sacramento River at Rio Vista on Dec 16, 2025.</w:t>
      </w:r>
    </w:p>
    <w:p>
      <w:pPr>
        <w:numPr>
          <w:ilvl w:val="0"/>
          <w:numId w:val="1003"/>
        </w:numPr>
      </w:pPr>
      <w:r>
        <w:rPr>
          <w:b/>
          <w:bCs/>
        </w:rPr>
        <w:t xml:space="preserve">Delta smelt count:</w:t>
      </w:r>
      <w:r>
        <w:t xml:space="preserve"> </w:t>
      </w:r>
      <w:r>
        <w:t xml:space="preserve">33 adult Delta smelt and 24 juvenile Delta smelt have been detected this water year. See</w:t>
      </w:r>
      <w:r>
        <w:t xml:space="preserve"> </w:t>
      </w:r>
      <w:hyperlink w:anchor="tbl-ds-recent-catch">
        <w:r>
          <w:rPr>
            <w:rStyle w:val="Hyperlink"/>
          </w:rPr>
          <w:t xml:space="preserve">Table 1</w:t>
        </w:r>
      </w:hyperlink>
      <w:r>
        <w:t xml:space="preserve"> </w:t>
      </w:r>
      <w:r>
        <w:t xml:space="preserve">for recent detections,</w:t>
      </w:r>
      <w:r>
        <w:t xml:space="preserve"> </w:t>
      </w:r>
      <w:hyperlink w:anchor="fig-ds-map">
        <w:r>
          <w:rPr>
            <w:rStyle w:val="Hyperlink"/>
          </w:rPr>
          <w:t xml:space="preserve">Figure 1</w:t>
        </w:r>
      </w:hyperlink>
      <w:r>
        <w:t xml:space="preserve"> </w:t>
      </w:r>
      <w:r>
        <w:t xml:space="preserve">for spatial distribution, and</w:t>
      </w:r>
      <w:r>
        <w:t xml:space="preserve"> </w:t>
      </w:r>
      <w:hyperlink w:anchor="fig-ds-catch">
        <w:r>
          <w:rPr>
            <w:rStyle w:val="Hyperlink"/>
          </w:rPr>
          <w:t xml:space="preserve">Figure 2</w:t>
        </w:r>
      </w:hyperlink>
      <w:r>
        <w:t xml:space="preserve"> </w:t>
      </w:r>
      <w:r>
        <w:t xml:space="preserve">for temporal distribution.</w:t>
      </w:r>
    </w:p>
    <w:p>
      <w:pPr>
        <w:numPr>
          <w:ilvl w:val="0"/>
          <w:numId w:val="1003"/>
        </w:numPr>
      </w:pPr>
      <w:r>
        <w:rPr>
          <w:b/>
          <w:bCs/>
        </w:rPr>
        <w:t xml:space="preserve">Delta smelt salvage:</w:t>
      </w:r>
      <w:r>
        <w:t xml:space="preserve"> </w:t>
      </w:r>
      <w:r>
        <w:t xml:space="preserve">0 Delta smelt have been salvaged, and the cumulative seasonal salvage is 0.</w:t>
      </w:r>
    </w:p>
    <w:p>
      <w:pPr>
        <w:pStyle w:val="FirstParagraph"/>
      </w:pPr>
      <w:r>
        <w:rPr>
          <w:b/>
          <w:bCs/>
        </w:rPr>
        <w:t xml:space="preserve">Notes</w:t>
      </w:r>
    </w:p>
    <w:p>
      <w:pPr>
        <w:pStyle w:val="Compact"/>
        <w:numPr>
          <w:ilvl w:val="0"/>
          <w:numId w:val="1004"/>
        </w:numPr>
      </w:pPr>
      <w:r>
        <w:t xml:space="preserve">Since there are few recent detections of Delta smelt, estimation of distribution within the Delta is limited.</w:t>
      </w:r>
    </w:p>
    <w:p>
      <w:pPr>
        <w:pStyle w:val="Compact"/>
        <w:numPr>
          <w:ilvl w:val="0"/>
          <w:numId w:val="1004"/>
        </w:numPr>
      </w:pPr>
      <w:r>
        <w:t xml:space="preserve">As mentioned in EDSM reporting, fork length ranges reported for Delta smelt and longfin smelt life stages are defined by permit reporting purposes and are not intended to delineate cohorts or distinguish from hatchery or wild origin. See</w:t>
      </w:r>
      <w:r>
        <w:t xml:space="preserve"> </w:t>
      </w:r>
      <w:hyperlink w:anchor="tbl-ds-recent-catch">
        <w:r>
          <w:rPr>
            <w:rStyle w:val="Hyperlink"/>
          </w:rPr>
          <w:t xml:space="preserve">Table 1</w:t>
        </w:r>
      </w:hyperlink>
      <w:r>
        <w:t xml:space="preserve"> </w:t>
      </w:r>
      <w:r>
        <w:t xml:space="preserve">caption for fork-length ranges for age groups of Delta smelt.</w:t>
      </w:r>
    </w:p>
    <w:p>
      <w:pPr>
        <w:pStyle w:val="Compact"/>
        <w:numPr>
          <w:ilvl w:val="0"/>
          <w:numId w:val="1004"/>
        </w:numPr>
      </w:pPr>
      <w:r>
        <w:t xml:space="preserve">See</w:t>
      </w:r>
      <w:r>
        <w:t xml:space="preserve"> </w:t>
      </w:r>
      <w:hyperlink r:id="rId21">
        <w:r>
          <w:rPr>
            <w:rStyle w:val="Hyperlink"/>
          </w:rPr>
          <w:t xml:space="preserve">SacPAS SMT Page</w:t>
        </w:r>
      </w:hyperlink>
      <w:r>
        <w:t xml:space="preserve"> </w:t>
      </w:r>
      <w:r>
        <w:t xml:space="preserve">for additional details on releases and detection in surveys and salvage.</w:t>
      </w:r>
    </w:p>
    <w:p>
      <w:pPr>
        <w:pStyle w:val="Compact"/>
        <w:numPr>
          <w:ilvl w:val="0"/>
          <w:numId w:val="1004"/>
        </w:numPr>
      </w:pPr>
      <w:r>
        <w:t xml:space="preserve">Historical salvage trends can be found at:</w:t>
      </w:r>
      <w:r>
        <w:t xml:space="preserve"> </w:t>
      </w:r>
      <w:hyperlink r:id="rId23">
        <w:r>
          <w:rPr>
            <w:rStyle w:val="Hyperlink"/>
          </w:rPr>
          <w:t xml:space="preserve">SacPAS Salvage Timing</w:t>
        </w:r>
      </w:hyperlink>
    </w:p>
    <w:tbl>
      <w:tblPr>
        <w:tblStyle w:val="Table"/>
        <w:tblW w:type="pct" w:w="5000"/>
        <w:tblLayout w:type="fixed"/>
        <w:tblLook w:firstRow="0" w:lastRow="0" w:firstColumn="0" w:lastColumn="0" w:noHBand="0" w:noVBand="0" w:val="0000"/>
      </w:tblPr>
      <w:tblGrid>
        <w:gridCol w:w="7920"/>
      </w:tblGrid>
      <w:tr>
        <w:tc>
          <w:tcPr/>
          <w:bookmarkStart w:id="24" w:name="tbl-ds-recent-catch"/>
          <w:p>
            <w:pPr>
              <w:jc w:val="center"/>
            </w:pPr>
            <w:pPr>
              <w:jc w:val="start"/>
              <w:spacing w:before="200"/>
              <w:pStyle w:val="ImageCaption"/>
            </w:pPr>
            <w:r>
              <w:t xml:space="preserve">Table 1: Delta smelt detections in the last 2 weeks. Fork Length &gt; 58mm = Adult, Fork Length 20-58mm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EDSM</w:t>
                  </w:r>
                </w:p>
              </w:tc>
              <w:tc>
                <w:tcPr/>
                <w:p>
                  <w:pPr>
                    <w:pStyle w:val="Compact"/>
                    <w:jc w:val="left"/>
                    <w:jc w:val="center"/>
                  </w:pPr>
                  <w:r>
                    <w:t xml:space="preserve">2025-12-29</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2026-01-02</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2026-01-02</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2026-01-07</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2026-01-07</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2026-01-08</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3</w:t>
                  </w:r>
                </w:p>
              </w:tc>
            </w:tr>
            <w:tr>
              <w:tc>
                <w:tcPr/>
                <w:p>
                  <w:pPr>
                    <w:pStyle w:val="Compact"/>
                    <w:jc w:val="left"/>
                    <w:jc w:val="center"/>
                  </w:pPr>
                  <w:r>
                    <w:t xml:space="preserve">EDSM</w:t>
                  </w:r>
                </w:p>
              </w:tc>
              <w:tc>
                <w:tcPr/>
                <w:p>
                  <w:pPr>
                    <w:pStyle w:val="Compact"/>
                    <w:jc w:val="left"/>
                    <w:jc w:val="center"/>
                  </w:pPr>
                  <w:r>
                    <w:t xml:space="preserve">2026-01-08</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1</w:t>
                  </w:r>
                </w:p>
              </w:tc>
            </w:tr>
          </w:tbl>
          <w:bookmarkEnd w:id="24"/>
          <w:p/>
        </w:tc>
      </w:tr>
    </w:tbl>
    <w:tbl>
      <w:tblPr>
        <w:tblStyle w:val="Table"/>
        <w:tblW w:type="pct" w:w="5000"/>
        <w:tblLayout w:type="fixed"/>
        <w:tblLook w:firstRow="0" w:lastRow="0" w:firstColumn="0" w:lastColumn="0" w:noHBand="0" w:noVBand="0" w:val="0000"/>
      </w:tblPr>
      <w:tblGrid>
        <w:gridCol w:w="7920"/>
      </w:tblGrid>
      <w:tr>
        <w:tc>
          <w:tcPr/>
          <w:bookmarkStart w:id="28" w:name="fig-ds-map"/>
          <w:p>
            <w:pPr>
              <w:pStyle w:val="Compact"/>
              <w:jc w:val="center"/>
            </w:pPr>
            <w:r>
              <w:drawing>
                <wp:inline>
                  <wp:extent cx="5334000" cy="4667249"/>
                  <wp:effectExtent b="0" l="0" r="0" t="0"/>
                  <wp:docPr descr="" title="" id="26" name="Picture"/>
                  <a:graphic>
                    <a:graphicData uri="http://schemas.openxmlformats.org/drawingml/2006/picture">
                      <pic:pic>
                        <pic:nvPicPr>
                          <pic:cNvPr descr="smt-assessment-v1_files/figure-docx/fig-ds-map-1.png" id="27" name="Picture"/>
                          <pic:cNvPicPr>
                            <a:picLocks noChangeArrowheads="1" noChangeAspect="1"/>
                          </pic:cNvPicPr>
                        </pic:nvPicPr>
                        <pic:blipFill>
                          <a:blip r:embed="rId25"/>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Delta smelt distribution for WY 2026</w:t>
            </w:r>
          </w:p>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tch-all"/>
          <w:p>
            <w:pPr>
              <w:jc w:val="center"/>
            </w:pPr>
            <w:pPr>
              <w:jc w:val="start"/>
              <w:spacing w:before="200"/>
              <w:pStyle w:val="ImageCaption"/>
            </w:pPr>
            <w:r>
              <w:t xml:space="preserve">Table 2: Delta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32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23</w:t>
                  </w:r>
                </w:p>
              </w:tc>
            </w:tr>
          </w:tbl>
          <w:bookmarkEnd w:id="29"/>
          <w:p/>
        </w:tc>
      </w:tr>
    </w:tbl>
    <w:tbl>
      <w:tblPr>
        <w:tblStyle w:val="Table"/>
        <w:tblW w:type="pct" w:w="5000"/>
        <w:tblLayout w:type="fixed"/>
        <w:tblLook w:firstRow="0" w:lastRow="0" w:firstColumn="0" w:lastColumn="0" w:noHBand="0" w:noVBand="0" w:val="0000"/>
      </w:tblPr>
      <w:tblGrid>
        <w:gridCol w:w="7920"/>
      </w:tblGrid>
      <w:tr>
        <w:tc>
          <w:tcPr/>
          <w:bookmarkStart w:id="33" w:name="fig-ds-catch"/>
          <w:p>
            <w:pPr>
              <w:pStyle w:val="Compact"/>
              <w:jc w:val="center"/>
            </w:pPr>
            <w:r>
              <w:drawing>
                <wp:inline>
                  <wp:extent cx="4576576" cy="3661261"/>
                  <wp:effectExtent b="0" l="0" r="0" t="0"/>
                  <wp:docPr descr="" title="" id="31" name="Picture"/>
                  <a:graphic>
                    <a:graphicData uri="http://schemas.openxmlformats.org/drawingml/2006/picture">
                      <pic:pic>
                        <pic:nvPicPr>
                          <pic:cNvPr descr="smt-assessment-v1_files/figure-docx/fig-ds-catch-1.png" id="32" name="Picture"/>
                          <pic:cNvPicPr>
                            <a:picLocks noChangeArrowheads="1" noChangeAspect="1"/>
                          </pic:cNvPicPr>
                        </pic:nvPicPr>
                        <pic:blipFill>
                          <a:blip r:embed="rId3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Time series of Delta smelt catch, WY 2026</w:t>
            </w:r>
          </w:p>
          <w:bookmarkEnd w:id="33"/>
        </w:tc>
      </w:tr>
    </w:tbl>
    <w:bookmarkEnd w:id="34"/>
    <w:bookmarkStart w:id="39" w:name="environmental"/>
    <w:p>
      <w:pPr>
        <w:pStyle w:val="Heading4"/>
      </w:pPr>
      <w:r>
        <w:t xml:space="preserve">Environmental</w:t>
      </w:r>
    </w:p>
    <w:bookmarkStart w:id="38" w:name="first-flush"/>
    <w:p>
      <w:pPr>
        <w:pStyle w:val="Heading5"/>
      </w:pPr>
      <w:r>
        <w:t xml:space="preserve">First Flush</w:t>
      </w:r>
    </w:p>
    <w:p>
      <w:pPr>
        <w:pStyle w:val="FirstParagraph"/>
      </w:pPr>
      <w:r>
        <w:rPr>
          <w:b/>
          <w:bCs/>
        </w:rPr>
        <w:t xml:space="preserve">Threshold</w:t>
      </w:r>
      <w:r>
        <w:t xml:space="preserve">: 3-day avg FPT flow ≥ 25,000 cfs and 3-day avg FPT turbidity ≥ 50 FNU</w:t>
      </w:r>
    </w:p>
    <w:p>
      <w:pPr>
        <w:pStyle w:val="Compact"/>
        <w:numPr>
          <w:ilvl w:val="0"/>
          <w:numId w:val="1005"/>
        </w:numPr>
      </w:pPr>
      <w:r>
        <w:rPr>
          <w:b/>
          <w:bCs/>
        </w:rPr>
        <w:t xml:space="preserve">FPT Flow (3-day average)</w:t>
      </w:r>
      <w:r>
        <w:t xml:space="preserve">: 74893 cfs as of Jan 08, 2026</w:t>
      </w:r>
    </w:p>
    <w:p>
      <w:pPr>
        <w:pStyle w:val="Compact"/>
        <w:numPr>
          <w:ilvl w:val="0"/>
          <w:numId w:val="1005"/>
        </w:numPr>
      </w:pPr>
      <w:r>
        <w:rPr>
          <w:b/>
          <w:bCs/>
        </w:rPr>
        <w:t xml:space="preserve">FPT Turbidity (3-day average)</w:t>
      </w:r>
      <w:r>
        <w:t xml:space="preserve">: 34.86 FNU as of Jan 08, 2026</w:t>
      </w:r>
    </w:p>
    <w:p>
      <w:pPr>
        <w:pStyle w:val="FirstParagraph"/>
      </w:pPr>
      <w:r>
        <w:drawing>
          <wp:inline>
            <wp:extent cx="4533900" cy="3238500"/>
            <wp:effectExtent b="0" l="0" r="0" t="0"/>
            <wp:docPr descr="" title="" id="36" name="Picture"/>
            <a:graphic>
              <a:graphicData uri="http://schemas.openxmlformats.org/drawingml/2006/picture">
                <pic:pic>
                  <pic:nvPicPr>
                    <pic:cNvPr descr="smelt_figures/freeport_flow.png" id="37" name="Picture"/>
                    <pic:cNvPicPr>
                      <a:picLocks noChangeArrowheads="1" noChangeAspect="1"/>
                    </pic:cNvPicPr>
                  </pic:nvPicPr>
                  <pic:blipFill>
                    <a:blip r:embed="rId35"/>
                    <a:stretch>
                      <a:fillRect/>
                    </a:stretch>
                  </pic:blipFill>
                  <pic:spPr bwMode="auto">
                    <a:xfrm>
                      <a:off x="0" y="0"/>
                      <a:ext cx="4533900" cy="3238500"/>
                    </a:xfrm>
                    <a:prstGeom prst="rect">
                      <a:avLst/>
                    </a:prstGeom>
                    <a:noFill/>
                    <a:ln w="9525">
                      <a:noFill/>
                      <a:headEnd/>
                      <a:tailEnd/>
                    </a:ln>
                  </pic:spPr>
                </pic:pic>
              </a:graphicData>
            </a:graphic>
          </wp:inline>
        </w:drawing>
      </w:r>
    </w:p>
    <w:bookmarkEnd w:id="38"/>
    <w:bookmarkEnd w:id="39"/>
    <w:bookmarkStart w:id="43" w:name="zone-of-influence-analysis"/>
    <w:p>
      <w:pPr>
        <w:pStyle w:val="Heading4"/>
      </w:pPr>
      <w:r>
        <w:t xml:space="preserve">Zone of Influence Analysis</w:t>
      </w:r>
    </w:p>
    <w:p>
      <w:pPr>
        <w:pStyle w:val="FirstParagraph"/>
      </w:pPr>
      <w:r>
        <w:drawing>
          <wp:inline>
            <wp:extent cx="5334000" cy="2667000"/>
            <wp:effectExtent b="0" l="0" r="0" t="0"/>
            <wp:docPr descr="" title="" id="41" name="Picture"/>
            <a:graphic>
              <a:graphicData uri="http://schemas.openxmlformats.org/drawingml/2006/picture">
                <pic:pic>
                  <pic:nvPicPr>
                    <pic:cNvPr descr="delta_hydro_files/figure-html/zoi_graph-1.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bookmarkEnd w:id="43"/>
    <w:bookmarkStart w:id="44" w:name="particle-tracking-models"/>
    <w:p>
      <w:pPr>
        <w:pStyle w:val="Heading4"/>
      </w:pPr>
      <w:r>
        <w:t xml:space="preserve">Particle Tracking Models</w:t>
      </w:r>
    </w:p>
    <w:bookmarkEnd w:id="44"/>
    <w:bookmarkStart w:id="51" w:name="real-time-assessment-thresholds"/>
    <w:p>
      <w:pPr>
        <w:pStyle w:val="Heading4"/>
      </w:pPr>
      <w:r>
        <w:t xml:space="preserve">Real-time Assessment Thresholds</w:t>
      </w:r>
    </w:p>
    <w:bookmarkStart w:id="49" w:name="adult-delta-smelt"/>
    <w:p>
      <w:pPr>
        <w:pStyle w:val="Heading5"/>
      </w:pPr>
      <w:r>
        <w:t xml:space="preserve">Adult Delta smelt</w:t>
      </w:r>
    </w:p>
    <w:p>
      <w:pPr>
        <w:pStyle w:val="FirstParagraph"/>
      </w:pPr>
      <w:r>
        <w:rPr>
          <w:b/>
          <w:bCs/>
        </w:rPr>
        <w:t xml:space="preserve">Threshold</w:t>
      </w:r>
      <w:r>
        <w:t xml:space="preserve">: If daily average JPF &lt; 0 AND turbidity ≥ 12 FNU at OBI, HOL and OSJ</w:t>
      </w:r>
    </w:p>
    <w:p>
      <w:pPr>
        <w:pStyle w:val="Compact"/>
        <w:numPr>
          <w:ilvl w:val="0"/>
          <w:numId w:val="1006"/>
        </w:numPr>
      </w:pPr>
      <w:r>
        <w:rPr>
          <w:b/>
          <w:bCs/>
        </w:rPr>
        <w:t xml:space="preserve">JPF</w:t>
      </w:r>
      <w:r>
        <w:t xml:space="preserve">: 19766 cfs as of Jan 07, 2026</w:t>
      </w:r>
    </w:p>
    <w:p>
      <w:pPr>
        <w:pStyle w:val="Compact"/>
        <w:numPr>
          <w:ilvl w:val="0"/>
          <w:numId w:val="1006"/>
        </w:numPr>
      </w:pPr>
      <w:r>
        <w:rPr>
          <w:b/>
          <w:bCs/>
        </w:rPr>
        <w:t xml:space="preserve">OBI Turbidity</w:t>
      </w:r>
      <w:r>
        <w:t xml:space="preserve">: 6.27, 6.38, 6.26 FNU as of Jan 08, 2026</w:t>
      </w:r>
    </w:p>
    <w:p>
      <w:pPr>
        <w:pStyle w:val="Compact"/>
        <w:numPr>
          <w:ilvl w:val="0"/>
          <w:numId w:val="1006"/>
        </w:numPr>
      </w:pPr>
      <w:r>
        <w:rPr>
          <w:b/>
          <w:bCs/>
        </w:rPr>
        <w:t xml:space="preserve">HOL Turbidity</w:t>
      </w:r>
      <w:r>
        <w:t xml:space="preserve">: 6.8, 6.85, 10.08 FNU as of Jan 08, 2026</w:t>
      </w:r>
    </w:p>
    <w:p>
      <w:pPr>
        <w:pStyle w:val="Compact"/>
        <w:numPr>
          <w:ilvl w:val="0"/>
          <w:numId w:val="1006"/>
        </w:numPr>
      </w:pPr>
      <w:r>
        <w:rPr>
          <w:b/>
          <w:bCs/>
        </w:rPr>
        <w:t xml:space="preserve">OSJ Turbidity</w:t>
      </w:r>
      <w:r>
        <w:t xml:space="preserve">: 17.4, 15.36, 16.5 FNU as of Jan 08, 2026</w:t>
      </w:r>
    </w:p>
    <w:p>
      <w:pPr>
        <w:pStyle w:val="FirstParagraph"/>
      </w:pPr>
      <w:r>
        <w:rPr>
          <w:b/>
          <w:bCs/>
        </w:rPr>
        <w:t xml:space="preserve">Offramp Adult/Onramp Larval and Juvenile Protections</w:t>
      </w:r>
      <w:r>
        <w:t xml:space="preserve"> </w:t>
      </w:r>
      <w:r>
        <w:t xml:space="preserve">when RVB or SJJ &gt; 12°C</w:t>
      </w:r>
    </w:p>
    <w:p>
      <w:pPr>
        <w:pStyle w:val="Compact"/>
        <w:numPr>
          <w:ilvl w:val="0"/>
          <w:numId w:val="1007"/>
        </w:numPr>
      </w:pPr>
      <w:r>
        <w:rPr>
          <w:b/>
          <w:bCs/>
        </w:rPr>
        <w:t xml:space="preserve">RVB temperature (3-day average)</w:t>
      </w:r>
      <w:r>
        <w:t xml:space="preserve">: 11.24°C as of Jan 08, 2026</w:t>
      </w:r>
    </w:p>
    <w:p>
      <w:pPr>
        <w:pStyle w:val="FirstParagraph"/>
      </w:pPr>
      <w:r>
        <w:drawing>
          <wp:inline>
            <wp:extent cx="4533900" cy="3238500"/>
            <wp:effectExtent b="0" l="0" r="0" t="0"/>
            <wp:docPr descr="" title="" id="46" name="Picture"/>
            <a:graphic>
              <a:graphicData uri="http://schemas.openxmlformats.org/drawingml/2006/picture">
                <pic:pic>
                  <pic:nvPicPr>
                    <pic:cNvPr descr="smelt_figures/freeport_turbidity.png" id="47" name="Picture"/>
                    <pic:cNvPicPr>
                      <a:picLocks noChangeArrowheads="1" noChangeAspect="1"/>
                    </pic:cNvPicPr>
                  </pic:nvPicPr>
                  <pic:blipFill>
                    <a:blip r:embed="rId45"/>
                    <a:stretch>
                      <a:fillRect/>
                    </a:stretch>
                  </pic:blipFill>
                  <pic:spPr bwMode="auto">
                    <a:xfrm>
                      <a:off x="0" y="0"/>
                      <a:ext cx="4533900" cy="3238500"/>
                    </a:xfrm>
                    <a:prstGeom prst="rect">
                      <a:avLst/>
                    </a:prstGeom>
                    <a:noFill/>
                    <a:ln w="9525">
                      <a:noFill/>
                      <a:headEnd/>
                      <a:tailEnd/>
                    </a:ln>
                  </pic:spPr>
                </pic:pic>
              </a:graphicData>
            </a:graphic>
          </wp:inline>
        </w:drawing>
      </w:r>
    </w:p>
    <w:p>
      <w:pPr>
        <w:pStyle w:val="Compact"/>
        <w:numPr>
          <w:ilvl w:val="0"/>
          <w:numId w:val="1008"/>
        </w:numPr>
      </w:pPr>
      <w:r>
        <w:t xml:space="preserve">See</w:t>
      </w:r>
      <w:r>
        <w:t xml:space="preserve"> </w:t>
      </w:r>
      <w:hyperlink r:id="rId48">
        <w:r>
          <w:rPr>
            <w:rStyle w:val="Hyperlink"/>
          </w:rPr>
          <w:t xml:space="preserve">Bay-Delta Live</w:t>
        </w:r>
      </w:hyperlink>
      <w:r>
        <w:t xml:space="preserve"> </w:t>
      </w:r>
      <w:r>
        <w:t xml:space="preserve">for recent Delta-wide turbidity conditions.</w:t>
      </w:r>
      <w:r>
        <w:t xml:space="preserve"> </w:t>
      </w:r>
    </w:p>
    <w:bookmarkEnd w:id="49"/>
    <w:bookmarkStart w:id="50" w:name="larvaljuvenile-delta-smelt"/>
    <w:p>
      <w:pPr>
        <w:pStyle w:val="Heading5"/>
      </w:pPr>
      <w:r>
        <w:t xml:space="preserve">Larval/juvenile Delta smelt</w:t>
      </w:r>
    </w:p>
    <w:p>
      <w:pPr>
        <w:pStyle w:val="FirstParagraph"/>
      </w:pPr>
      <w:r>
        <w:rPr>
          <w:b/>
          <w:bCs/>
        </w:rPr>
        <w:t xml:space="preserve">Threshold</w:t>
      </w:r>
      <w:r>
        <w:t xml:space="preserve">: After the onset of spawning, if JPF &lt; 0 cfs AND turbidity is ≥ 12 FNU in the south Delta AND PTM modeling indicates the action would avoid ≥ 5% entrainment of Delta smelt population after 30 days</w:t>
      </w:r>
    </w:p>
    <w:p>
      <w:pPr>
        <w:pStyle w:val="Compact"/>
        <w:numPr>
          <w:ilvl w:val="0"/>
          <w:numId w:val="1009"/>
        </w:numPr>
      </w:pPr>
      <w:r>
        <w:rPr>
          <w:b/>
          <w:bCs/>
        </w:rPr>
        <w:t xml:space="preserve">12-station South Delta Turbidity</w:t>
      </w:r>
      <w:r>
        <w:t xml:space="preserve">: The most recent average turbidity was 19.1 FNU as of Dec 30, 2025</w:t>
      </w:r>
    </w:p>
    <w:bookmarkEnd w:id="50"/>
    <w:bookmarkEnd w:id="51"/>
    <w:bookmarkStart w:id="52" w:name="evaluation"/>
    <w:p>
      <w:pPr>
        <w:pStyle w:val="Heading4"/>
      </w:pPr>
      <w:r>
        <w:t xml:space="preserve">Evaluation</w:t>
      </w:r>
    </w:p>
    <w:bookmarkEnd w:id="52"/>
    <w:bookmarkEnd w:id="53"/>
    <w:bookmarkStart w:id="70" w:name="longfin-smelt"/>
    <w:p>
      <w:pPr>
        <w:pStyle w:val="Heading3"/>
      </w:pPr>
      <w:r>
        <w:t xml:space="preserve">Longfin smelt</w:t>
      </w:r>
    </w:p>
    <w:bookmarkStart w:id="64" w:name="biological-1"/>
    <w:p>
      <w:pPr>
        <w:pStyle w:val="Heading4"/>
      </w:pPr>
      <w:r>
        <w:t xml:space="preserve">Biological</w:t>
      </w:r>
    </w:p>
    <w:p>
      <w:pPr>
        <w:numPr>
          <w:ilvl w:val="0"/>
          <w:numId w:val="1010"/>
        </w:numPr>
      </w:pPr>
      <w:r>
        <w:rPr>
          <w:b/>
          <w:bCs/>
        </w:rPr>
        <w:t xml:space="preserve">Longfin smelt life stages:</w:t>
      </w:r>
      <w:r>
        <w:t xml:space="preserve"> </w:t>
      </w:r>
      <w:r>
        <w:t xml:space="preserve">Juvenile, Adult, NA, Larva</w:t>
      </w:r>
    </w:p>
    <w:p>
      <w:pPr>
        <w:numPr>
          <w:ilvl w:val="0"/>
          <w:numId w:val="1010"/>
        </w:numPr>
      </w:pPr>
      <w:r>
        <w:rPr>
          <w:b/>
          <w:bCs/>
        </w:rPr>
        <w:t xml:space="preserve">Longfin smelt count:</w:t>
      </w:r>
      <w:r>
        <w:t xml:space="preserve"> </w:t>
      </w:r>
      <w:r>
        <w:t xml:space="preserve">277 adult, 439 juvenile, and 10 larval longfin smelt have been detected this water year. See</w:t>
      </w:r>
      <w:r>
        <w:t xml:space="preserve"> </w:t>
      </w:r>
      <w:hyperlink w:anchor="tbl-lfs-recent-catch">
        <w:r>
          <w:rPr>
            <w:rStyle w:val="Hyperlink"/>
          </w:rPr>
          <w:t xml:space="preserve">Table 3</w:t>
        </w:r>
      </w:hyperlink>
      <w:r>
        <w:t xml:space="preserve"> </w:t>
      </w:r>
      <w:r>
        <w:t xml:space="preserve">for recent detections,</w:t>
      </w:r>
      <w:r>
        <w:t xml:space="preserve"> </w:t>
      </w:r>
      <w:hyperlink w:anchor="fig-lfs-map">
        <w:r>
          <w:rPr>
            <w:rStyle w:val="Hyperlink"/>
          </w:rPr>
          <w:t xml:space="preserve">Figure 3</w:t>
        </w:r>
      </w:hyperlink>
      <w:r>
        <w:t xml:space="preserve"> </w:t>
      </w:r>
      <w:r>
        <w:t xml:space="preserve">for spatial distribution, and</w:t>
      </w:r>
      <w:r>
        <w:t xml:space="preserve"> </w:t>
      </w:r>
      <w:hyperlink w:anchor="fig-lfs-catch">
        <w:r>
          <w:rPr>
            <w:rStyle w:val="Hyperlink"/>
          </w:rPr>
          <w:t xml:space="preserve">Figure 4</w:t>
        </w:r>
      </w:hyperlink>
      <w:r>
        <w:t xml:space="preserve"> </w:t>
      </w:r>
      <w:r>
        <w:t xml:space="preserve">for temporal distribution.</w:t>
      </w:r>
    </w:p>
    <w:p>
      <w:pPr>
        <w:numPr>
          <w:ilvl w:val="0"/>
          <w:numId w:val="1010"/>
        </w:numPr>
      </w:pPr>
      <w:r>
        <w:rPr>
          <w:b/>
          <w:bCs/>
        </w:rPr>
        <w:t xml:space="preserve">Longfin smelt salvage:</w:t>
      </w:r>
      <w:r>
        <w:t xml:space="preserve"> </w:t>
      </w:r>
      <w:r>
        <w:t xml:space="preserve">0 longfin smelt have been salvaged, and the cumulative seasonal salvage is 0.</w:t>
      </w: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lfs-recent-catch"/>
          <w:p>
            <w:pPr>
              <w:jc w:val="center"/>
            </w:pPr>
            <w:pPr>
              <w:jc w:val="start"/>
              <w:spacing w:before="200"/>
              <w:pStyle w:val="ImageCaption"/>
            </w:pPr>
            <w:r>
              <w:t xml:space="preserve">Table 3: Longfin smelt detections in the last 2 weeks. Fork Length &gt; 84mm = Adult, Fork Length 20-84mm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DJFMP</w:t>
                  </w:r>
                </w:p>
              </w:tc>
              <w:tc>
                <w:tcPr/>
                <w:p>
                  <w:pPr>
                    <w:pStyle w:val="Compact"/>
                    <w:jc w:val="left"/>
                    <w:jc w:val="center"/>
                  </w:pPr>
                  <w:r>
                    <w:t xml:space="preserve">2025-12-29</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21</w:t>
                  </w:r>
                </w:p>
              </w:tc>
            </w:tr>
            <w:tr>
              <w:tc>
                <w:tcPr/>
                <w:p>
                  <w:pPr>
                    <w:pStyle w:val="Compact"/>
                    <w:jc w:val="left"/>
                    <w:jc w:val="center"/>
                  </w:pPr>
                  <w:r>
                    <w:t xml:space="preserve">DJFMP</w:t>
                  </w:r>
                </w:p>
              </w:tc>
              <w:tc>
                <w:tcPr/>
                <w:p>
                  <w:pPr>
                    <w:pStyle w:val="Compact"/>
                    <w:jc w:val="left"/>
                    <w:jc w:val="center"/>
                  </w:pPr>
                  <w:r>
                    <w:t xml:space="preserve">2025-12-30</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54</w:t>
                  </w:r>
                </w:p>
              </w:tc>
            </w:tr>
            <w:tr>
              <w:tc>
                <w:tcPr/>
                <w:p>
                  <w:pPr>
                    <w:pStyle w:val="Compact"/>
                    <w:jc w:val="left"/>
                    <w:jc w:val="center"/>
                  </w:pPr>
                  <w:r>
                    <w:t xml:space="preserve">DJFMP</w:t>
                  </w:r>
                </w:p>
              </w:tc>
              <w:tc>
                <w:tcPr/>
                <w:p>
                  <w:pPr>
                    <w:pStyle w:val="Compact"/>
                    <w:jc w:val="left"/>
                    <w:jc w:val="center"/>
                  </w:pPr>
                  <w:r>
                    <w:t xml:space="preserve">2025-12-30</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2025-12-31</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44</w:t>
                  </w:r>
                </w:p>
              </w:tc>
            </w:tr>
            <w:tr>
              <w:tc>
                <w:tcPr/>
                <w:p>
                  <w:pPr>
                    <w:pStyle w:val="Compact"/>
                    <w:jc w:val="left"/>
                    <w:jc w:val="center"/>
                  </w:pPr>
                  <w:r>
                    <w:t xml:space="preserve">DJFMP</w:t>
                  </w:r>
                </w:p>
              </w:tc>
              <w:tc>
                <w:tcPr/>
                <w:p>
                  <w:pPr>
                    <w:pStyle w:val="Compact"/>
                    <w:jc w:val="left"/>
                    <w:jc w:val="center"/>
                  </w:pPr>
                  <w:r>
                    <w:t xml:space="preserve">2025-12-31</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Juvenile</w:t>
                  </w:r>
                </w:p>
              </w:tc>
              <w:tc>
                <w:tcPr/>
                <w:p>
                  <w:pPr>
                    <w:pStyle w:val="Compact"/>
                    <w:jc w:val="right"/>
                    <w:jc w:val="center"/>
                  </w:pPr>
                  <w:r>
                    <w:t xml:space="preserve">2</w:t>
                  </w:r>
                </w:p>
              </w:tc>
            </w:tr>
            <w:tr>
              <w:tc>
                <w:tcPr/>
                <w:p>
                  <w:pPr>
                    <w:pStyle w:val="Compact"/>
                    <w:jc w:val="left"/>
                    <w:jc w:val="center"/>
                  </w:pPr>
                  <w:r>
                    <w:t xml:space="preserve">DJFMP</w:t>
                  </w:r>
                </w:p>
              </w:tc>
              <w:tc>
                <w:tcPr/>
                <w:p>
                  <w:pPr>
                    <w:pStyle w:val="Compact"/>
                    <w:jc w:val="left"/>
                    <w:jc w:val="center"/>
                  </w:pPr>
                  <w:r>
                    <w:t xml:space="preserve">2026-01-05</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2026-01-06</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2026-01-08</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3</w:t>
                  </w:r>
                </w:p>
              </w:tc>
            </w:tr>
            <w:tr>
              <w:tc>
                <w:tcPr/>
                <w:p>
                  <w:pPr>
                    <w:pStyle w:val="Compact"/>
                    <w:jc w:val="left"/>
                    <w:jc w:val="center"/>
                  </w:pPr>
                  <w:r>
                    <w:t xml:space="preserve">EDSM</w:t>
                  </w:r>
                </w:p>
              </w:tc>
              <w:tc>
                <w:tcPr/>
                <w:p>
                  <w:pPr>
                    <w:pStyle w:val="Compact"/>
                    <w:jc w:val="left"/>
                    <w:jc w:val="center"/>
                  </w:pPr>
                  <w:r>
                    <w:t xml:space="preserve">2025-12-29</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2025-12-29</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3</w:t>
                  </w:r>
                </w:p>
              </w:tc>
            </w:tr>
            <w:tr>
              <w:tc>
                <w:tcPr/>
                <w:p>
                  <w:pPr>
                    <w:pStyle w:val="Compact"/>
                    <w:jc w:val="left"/>
                    <w:jc w:val="center"/>
                  </w:pPr>
                  <w:r>
                    <w:t xml:space="preserve">EDSM</w:t>
                  </w:r>
                </w:p>
              </w:tc>
              <w:tc>
                <w:tcPr/>
                <w:p>
                  <w:pPr>
                    <w:pStyle w:val="Compact"/>
                    <w:jc w:val="left"/>
                    <w:jc w:val="center"/>
                  </w:pPr>
                  <w:r>
                    <w:t xml:space="preserve">2025-12-30</w:t>
                  </w:r>
                </w:p>
              </w:tc>
              <w:tc>
                <w:tcPr/>
                <w:p>
                  <w:pPr>
                    <w:pStyle w:val="Compact"/>
                    <w:jc w:val="left"/>
                    <w:jc w:val="center"/>
                  </w:pPr>
                  <w:r>
                    <w:t xml:space="preserve">West</w:t>
                  </w:r>
                </w:p>
              </w:tc>
              <w:tc>
                <w:tcPr/>
                <w:p>
                  <w:pPr>
                    <w:pStyle w:val="Compact"/>
                    <w:jc w:val="left"/>
                    <w:jc w:val="center"/>
                  </w:pPr>
                  <w:r>
                    <w:t xml:space="preserve">Suisun Bay</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2025-12-30</w:t>
                  </w:r>
                </w:p>
              </w:tc>
              <w:tc>
                <w:tcPr/>
                <w:p>
                  <w:pPr>
                    <w:pStyle w:val="Compact"/>
                    <w:jc w:val="left"/>
                    <w:jc w:val="center"/>
                  </w:pPr>
                  <w:r>
                    <w:t xml:space="preserve">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2025-12-31</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2025-12-31</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2026-01-05</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2026-01-05</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2026-01-06</w:t>
                  </w:r>
                </w:p>
              </w:tc>
              <w:tc>
                <w:tcPr/>
                <w:p>
                  <w:pPr>
                    <w:pStyle w:val="Compact"/>
                    <w:jc w:val="left"/>
                    <w:jc w:val="center"/>
                  </w:pPr>
                  <w:r>
                    <w:t xml:space="preserve">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2026-01-07</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sls</w:t>
                  </w:r>
                </w:p>
              </w:tc>
              <w:tc>
                <w:tcPr/>
                <w:p>
                  <w:pPr>
                    <w:pStyle w:val="Compact"/>
                    <w:jc w:val="left"/>
                    <w:jc w:val="center"/>
                  </w:pPr>
                  <w:r>
                    <w:t xml:space="preserve">2025-12-29</w:t>
                  </w:r>
                </w:p>
              </w:tc>
              <w:tc>
                <w:tcPr/>
                <w:p>
                  <w:pPr>
                    <w:pStyle w:val="Compact"/>
                    <w:jc w:val="left"/>
                    <w:jc w:val="center"/>
                  </w:pPr>
                  <w:r>
                    <w:t xml:space="preserve">Far West</w:t>
                  </w:r>
                </w:p>
              </w:tc>
              <w:tc>
                <w:tcPr/>
                <w:p>
                  <w:pPr>
                    <w:pStyle w:val="Compact"/>
                    <w:jc w:val="left"/>
                    <w:jc w:val="center"/>
                  </w:pPr>
                  <w:r>
                    <w:t xml:space="preserve">Western Delta</w:t>
                  </w:r>
                </w:p>
              </w:tc>
              <w:tc>
                <w:tcPr/>
                <w:p>
                  <w:pPr>
                    <w:pStyle w:val="Compact"/>
                    <w:jc w:val="left"/>
                    <w:jc w:val="center"/>
                  </w:pPr>
                  <w:r>
                    <w:t xml:space="preserve">NA</w:t>
                  </w:r>
                </w:p>
              </w:tc>
              <w:tc>
                <w:tcPr/>
                <w:p>
                  <w:pPr>
                    <w:pStyle w:val="Compact"/>
                    <w:jc w:val="right"/>
                    <w:jc w:val="center"/>
                  </w:pPr>
                  <w:r>
                    <w:t xml:space="preserve">9</w:t>
                  </w:r>
                </w:p>
              </w:tc>
            </w:tr>
            <w:tr>
              <w:tc>
                <w:tcPr/>
                <w:p>
                  <w:pPr>
                    <w:pStyle w:val="Compact"/>
                    <w:jc w:val="left"/>
                    <w:jc w:val="center"/>
                  </w:pPr>
                  <w:r>
                    <w:t xml:space="preserve">sls</w:t>
                  </w:r>
                </w:p>
              </w:tc>
              <w:tc>
                <w:tcPr/>
                <w:p>
                  <w:pPr>
                    <w:pStyle w:val="Compact"/>
                    <w:jc w:val="left"/>
                    <w:jc w:val="center"/>
                  </w:pPr>
                  <w:r>
                    <w:t xml:space="preserve">2025-12-30</w:t>
                  </w:r>
                </w:p>
              </w:tc>
              <w:tc>
                <w:tcPr/>
                <w:p>
                  <w:pPr>
                    <w:pStyle w:val="Compact"/>
                    <w:jc w:val="left"/>
                    <w:jc w:val="center"/>
                  </w:pPr>
                  <w:r>
                    <w:t xml:space="preserve">Far West</w:t>
                  </w:r>
                </w:p>
              </w:tc>
              <w:tc>
                <w:tcPr/>
                <w:p>
                  <w:pPr>
                    <w:pStyle w:val="Compact"/>
                    <w:jc w:val="left"/>
                    <w:jc w:val="center"/>
                  </w:pPr>
                  <w:r>
                    <w:t xml:space="preserve">Western Delta</w:t>
                  </w:r>
                </w:p>
              </w:tc>
              <w:tc>
                <w:tcPr/>
                <w:p>
                  <w:pPr>
                    <w:pStyle w:val="Compact"/>
                    <w:jc w:val="left"/>
                    <w:jc w:val="center"/>
                  </w:pPr>
                  <w:r>
                    <w:t xml:space="preserve">Larva</w:t>
                  </w:r>
                </w:p>
              </w:tc>
              <w:tc>
                <w:tcPr/>
                <w:p>
                  <w:pPr>
                    <w:pStyle w:val="Compact"/>
                    <w:jc w:val="right"/>
                    <w:jc w:val="center"/>
                  </w:pPr>
                  <w:r>
                    <w:t xml:space="preserve">3</w:t>
                  </w:r>
                </w:p>
              </w:tc>
            </w:tr>
            <w:tr>
              <w:tc>
                <w:tcPr/>
                <w:p>
                  <w:pPr>
                    <w:pStyle w:val="Compact"/>
                    <w:jc w:val="left"/>
                    <w:jc w:val="center"/>
                  </w:pPr>
                  <w:r>
                    <w:t xml:space="preserve">sls</w:t>
                  </w:r>
                </w:p>
              </w:tc>
              <w:tc>
                <w:tcPr/>
                <w:p>
                  <w:pPr>
                    <w:pStyle w:val="Compact"/>
                    <w:jc w:val="left"/>
                    <w:jc w:val="center"/>
                  </w:pPr>
                  <w:r>
                    <w:t xml:space="preserve">2025-12-30</w:t>
                  </w:r>
                </w:p>
              </w:tc>
              <w:tc>
                <w:tcPr/>
                <w:p>
                  <w:pPr>
                    <w:pStyle w:val="Compact"/>
                    <w:jc w:val="left"/>
                    <w:jc w:val="center"/>
                  </w:pPr>
                  <w:r>
                    <w:t xml:space="preserve">Far West</w:t>
                  </w:r>
                </w:p>
              </w:tc>
              <w:tc>
                <w:tcPr/>
                <w:p>
                  <w:pPr>
                    <w:pStyle w:val="Compact"/>
                    <w:jc w:val="left"/>
                    <w:jc w:val="center"/>
                  </w:pPr>
                  <w:r>
                    <w:t xml:space="preserve">Western Delta</w:t>
                  </w:r>
                </w:p>
              </w:tc>
              <w:tc>
                <w:tcPr/>
                <w:p>
                  <w:pPr>
                    <w:pStyle w:val="Compact"/>
                    <w:jc w:val="left"/>
                    <w:jc w:val="center"/>
                  </w:pPr>
                  <w:r>
                    <w:t xml:space="preserve">NA</w:t>
                  </w:r>
                </w:p>
              </w:tc>
              <w:tc>
                <w:tcPr/>
                <w:p>
                  <w:pPr>
                    <w:pStyle w:val="Compact"/>
                    <w:jc w:val="right"/>
                    <w:jc w:val="center"/>
                  </w:pPr>
                  <w:r>
                    <w:t xml:space="preserve">4</w:t>
                  </w:r>
                </w:p>
              </w:tc>
            </w:tr>
            <w:tr>
              <w:tc>
                <w:tcPr/>
                <w:p>
                  <w:pPr>
                    <w:pStyle w:val="Compact"/>
                    <w:jc w:val="left"/>
                    <w:jc w:val="center"/>
                  </w:pPr>
                  <w:r>
                    <w:t xml:space="preserve">sls</w:t>
                  </w:r>
                </w:p>
              </w:tc>
              <w:tc>
                <w:tcPr/>
                <w:p>
                  <w:pPr>
                    <w:pStyle w:val="Compact"/>
                    <w:jc w:val="left"/>
                    <w:jc w:val="center"/>
                  </w:pPr>
                  <w:r>
                    <w:t xml:space="preserve">2025-12-30</w:t>
                  </w:r>
                </w:p>
              </w:tc>
              <w:tc>
                <w:tcPr/>
                <w:p>
                  <w:pPr>
                    <w:pStyle w:val="Compact"/>
                    <w:jc w:val="left"/>
                    <w:jc w:val="center"/>
                  </w:pPr>
                  <w:r>
                    <w:t xml:space="preserve">West</w:t>
                  </w:r>
                </w:p>
              </w:tc>
              <w:tc>
                <w:tcPr/>
                <w:p>
                  <w:pPr>
                    <w:pStyle w:val="Compact"/>
                    <w:jc w:val="left"/>
                    <w:jc w:val="center"/>
                  </w:pPr>
                  <w:r>
                    <w:t xml:space="preserve">Lower San Joaquin</w:t>
                  </w:r>
                </w:p>
              </w:tc>
              <w:tc>
                <w:tcPr/>
                <w:p>
                  <w:pPr>
                    <w:pStyle w:val="Compact"/>
                    <w:jc w:val="left"/>
                    <w:jc w:val="center"/>
                  </w:pPr>
                  <w:r>
                    <w:t xml:space="preserve">Larva</w:t>
                  </w:r>
                </w:p>
              </w:tc>
              <w:tc>
                <w:tcPr/>
                <w:p>
                  <w:pPr>
                    <w:pStyle w:val="Compact"/>
                    <w:jc w:val="right"/>
                    <w:jc w:val="center"/>
                  </w:pPr>
                  <w:r>
                    <w:t xml:space="preserve">4</w:t>
                  </w:r>
                </w:p>
              </w:tc>
            </w:tr>
          </w:tbl>
          <w:bookmarkEnd w:id="54"/>
          <w:p/>
        </w:tc>
      </w:tr>
    </w:tbl>
    <w:tbl>
      <w:tblPr>
        <w:tblStyle w:val="Table"/>
        <w:tblW w:type="pct" w:w="5000"/>
        <w:tblLayout w:type="fixed"/>
        <w:tblLook w:firstRow="0" w:lastRow="0" w:firstColumn="0" w:lastColumn="0" w:noHBand="0" w:noVBand="0" w:val="0000"/>
      </w:tblPr>
      <w:tblGrid>
        <w:gridCol w:w="7920"/>
      </w:tblGrid>
      <w:tr>
        <w:tc>
          <w:tcPr/>
          <w:bookmarkStart w:id="58" w:name="fig-lfs-map"/>
          <w:p>
            <w:pPr>
              <w:pStyle w:val="Compact"/>
              <w:jc w:val="center"/>
            </w:pPr>
            <w:r>
              <w:drawing>
                <wp:inline>
                  <wp:extent cx="5334000" cy="4667249"/>
                  <wp:effectExtent b="0" l="0" r="0" t="0"/>
                  <wp:docPr descr="" title="" id="56" name="Picture"/>
                  <a:graphic>
                    <a:graphicData uri="http://schemas.openxmlformats.org/drawingml/2006/picture">
                      <pic:pic>
                        <pic:nvPicPr>
                          <pic:cNvPr descr="smt-assessment-v1_files/figure-docx/fig-lfs-map-1.png" id="57" name="Picture"/>
                          <pic:cNvPicPr>
                            <a:picLocks noChangeArrowheads="1" noChangeAspect="1"/>
                          </pic:cNvPicPr>
                        </pic:nvPicPr>
                        <pic:blipFill>
                          <a:blip r:embed="rId55"/>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Longfin Smelt Distribution for WY 2026</w:t>
            </w:r>
          </w:p>
          <w:bookmarkEnd w:id="58"/>
        </w:tc>
      </w:tr>
    </w:tbl>
    <w:tbl>
      <w:tblPr>
        <w:tblStyle w:val="Table"/>
        <w:tblW w:type="pct" w:w="5000"/>
        <w:tblLayout w:type="fixed"/>
        <w:tblLook w:firstRow="0" w:lastRow="0" w:firstColumn="0" w:lastColumn="0" w:noHBand="0" w:noVBand="0" w:val="0000"/>
      </w:tblPr>
      <w:tblGrid>
        <w:gridCol w:w="7920"/>
      </w:tblGrid>
      <w:tr>
        <w:tc>
          <w:tcPr/>
          <w:bookmarkStart w:id="59" w:name="tbl-lfs-catch-all"/>
          <w:p>
            <w:pPr>
              <w:jc w:val="center"/>
            </w:pPr>
            <w:pPr>
              <w:jc w:val="start"/>
              <w:spacing w:before="200"/>
              <w:pStyle w:val="ImageCaption"/>
            </w:pPr>
            <w:r>
              <w:t xml:space="preserve">Table 4: Longfin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240</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7</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13</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22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75</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Adult</w:t>
                  </w:r>
                </w:p>
              </w:tc>
              <w:tc>
                <w:tcPr/>
                <w:p>
                  <w:pPr>
                    <w:pStyle w:val="Compact"/>
                    <w:jc w:val="right"/>
                    <w:jc w:val="center"/>
                  </w:pPr>
                  <w:r>
                    <w:t xml:space="preserve">6</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320</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11</w:t>
                  </w:r>
                </w:p>
              </w:tc>
            </w:tr>
            <w:tr>
              <w:tc>
                <w:tcPr/>
                <w:p>
                  <w:pPr>
                    <w:pStyle w:val="Compact"/>
                    <w:jc w:val="left"/>
                    <w:jc w:val="center"/>
                  </w:pPr>
                  <w:r>
                    <w:t xml:space="preserve">baystudy</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6</w:t>
                  </w:r>
                </w:p>
              </w:tc>
            </w:tr>
            <w:tr>
              <w:tc>
                <w:tcPr/>
                <w:p>
                  <w:pPr>
                    <w:pStyle w:val="Compact"/>
                    <w:jc w:val="left"/>
                    <w:jc w:val="center"/>
                  </w:pPr>
                  <w:r>
                    <w:t xml:space="preserve">sls</w:t>
                  </w:r>
                </w:p>
              </w:tc>
              <w:tc>
                <w:tcPr/>
                <w:p>
                  <w:pPr>
                    <w:pStyle w:val="Compact"/>
                    <w:jc w:val="left"/>
                    <w:jc w:val="center"/>
                  </w:pPr>
                  <w:r>
                    <w:t xml:space="preserve">Far West</w:t>
                  </w:r>
                </w:p>
              </w:tc>
              <w:tc>
                <w:tcPr/>
                <w:p>
                  <w:pPr>
                    <w:pStyle w:val="Compact"/>
                    <w:jc w:val="left"/>
                    <w:jc w:val="center"/>
                  </w:pPr>
                  <w:r>
                    <w:t xml:space="preserve">Larva</w:t>
                  </w:r>
                </w:p>
              </w:tc>
              <w:tc>
                <w:tcPr/>
                <w:p>
                  <w:pPr>
                    <w:pStyle w:val="Compact"/>
                    <w:jc w:val="right"/>
                    <w:jc w:val="center"/>
                  </w:pPr>
                  <w:r>
                    <w:t xml:space="preserve">3</w:t>
                  </w:r>
                </w:p>
              </w:tc>
            </w:tr>
            <w:tr>
              <w:tc>
                <w:tcPr/>
                <w:p>
                  <w:pPr>
                    <w:pStyle w:val="Compact"/>
                    <w:jc w:val="left"/>
                    <w:jc w:val="center"/>
                  </w:pPr>
                  <w:r>
                    <w:t xml:space="preserve">sls</w:t>
                  </w:r>
                </w:p>
              </w:tc>
              <w:tc>
                <w:tcPr/>
                <w:p>
                  <w:pPr>
                    <w:pStyle w:val="Compact"/>
                    <w:jc w:val="left"/>
                    <w:jc w:val="center"/>
                  </w:pPr>
                  <w:r>
                    <w:t xml:space="preserve">North</w:t>
                  </w:r>
                </w:p>
              </w:tc>
              <w:tc>
                <w:tcPr/>
                <w:p>
                  <w:pPr>
                    <w:pStyle w:val="Compact"/>
                    <w:jc w:val="left"/>
                    <w:jc w:val="center"/>
                  </w:pPr>
                  <w:r>
                    <w:t xml:space="preserve">Larva</w:t>
                  </w:r>
                </w:p>
              </w:tc>
              <w:tc>
                <w:tcPr/>
                <w:p>
                  <w:pPr>
                    <w:pStyle w:val="Compact"/>
                    <w:jc w:val="right"/>
                    <w:jc w:val="center"/>
                  </w:pPr>
                  <w:r>
                    <w:t xml:space="preserve">1</w:t>
                  </w:r>
                </w:p>
              </w:tc>
            </w:tr>
            <w:tr>
              <w:tc>
                <w:tcPr/>
                <w:p>
                  <w:pPr>
                    <w:pStyle w:val="Compact"/>
                    <w:jc w:val="left"/>
                    <w:jc w:val="center"/>
                  </w:pPr>
                  <w:r>
                    <w:t xml:space="preserve">sls</w:t>
                  </w:r>
                </w:p>
              </w:tc>
              <w:tc>
                <w:tcPr/>
                <w:p>
                  <w:pPr>
                    <w:pStyle w:val="Compact"/>
                    <w:jc w:val="left"/>
                    <w:jc w:val="center"/>
                  </w:pPr>
                  <w:r>
                    <w:t xml:space="preserve">West</w:t>
                  </w:r>
                </w:p>
              </w:tc>
              <w:tc>
                <w:tcPr/>
                <w:p>
                  <w:pPr>
                    <w:pStyle w:val="Compact"/>
                    <w:jc w:val="left"/>
                    <w:jc w:val="center"/>
                  </w:pPr>
                  <w:r>
                    <w:t xml:space="preserve">Larva</w:t>
                  </w:r>
                </w:p>
              </w:tc>
              <w:tc>
                <w:tcPr/>
                <w:p>
                  <w:pPr>
                    <w:pStyle w:val="Compact"/>
                    <w:jc w:val="right"/>
                    <w:jc w:val="center"/>
                  </w:pPr>
                  <w:r>
                    <w:t xml:space="preserve">6</w:t>
                  </w:r>
                </w:p>
              </w:tc>
            </w:tr>
          </w:tbl>
          <w:bookmarkEnd w:id="59"/>
          <w:p/>
        </w:tc>
      </w:tr>
    </w:tbl>
    <w:tbl>
      <w:tblPr>
        <w:tblStyle w:val="Table"/>
        <w:tblW w:type="pct" w:w="5000"/>
        <w:tblLayout w:type="fixed"/>
        <w:tblLook w:firstRow="0" w:lastRow="0" w:firstColumn="0" w:lastColumn="0" w:noHBand="0" w:noVBand="0" w:val="0000"/>
      </w:tblPr>
      <w:tblGrid>
        <w:gridCol w:w="7920"/>
      </w:tblGrid>
      <w:tr>
        <w:tc>
          <w:tcPr/>
          <w:bookmarkStart w:id="63" w:name="fig-lfs-catch"/>
          <w:p>
            <w:pPr>
              <w:pStyle w:val="Compact"/>
              <w:jc w:val="center"/>
            </w:pPr>
            <w:r>
              <w:drawing>
                <wp:inline>
                  <wp:extent cx="4576576" cy="3661261"/>
                  <wp:effectExtent b="0" l="0" r="0" t="0"/>
                  <wp:docPr descr="" title="" id="61" name="Picture"/>
                  <a:graphic>
                    <a:graphicData uri="http://schemas.openxmlformats.org/drawingml/2006/picture">
                      <pic:pic>
                        <pic:nvPicPr>
                          <pic:cNvPr descr="smt-assessment-v1_files/figure-docx/fig-lfs-catch-1.png" id="62" name="Picture"/>
                          <pic:cNvPicPr>
                            <a:picLocks noChangeArrowheads="1" noChangeAspect="1"/>
                          </pic:cNvPicPr>
                        </pic:nvPicPr>
                        <pic:blipFill>
                          <a:blip r:embed="rId6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Time series of longfin smelt catch, WY 2026</w:t>
            </w:r>
          </w:p>
          <w:bookmarkEnd w:id="63"/>
        </w:tc>
      </w:tr>
    </w:tbl>
    <w:bookmarkEnd w:id="64"/>
    <w:bookmarkStart w:id="68" w:name="real-time-assessment-thresholds-1"/>
    <w:p>
      <w:pPr>
        <w:pStyle w:val="Heading4"/>
      </w:pPr>
      <w:r>
        <w:t xml:space="preserve">Real-time Assessment Thresholds</w:t>
      </w:r>
    </w:p>
    <w:bookmarkStart w:id="65" w:name="X20cb4fe57c6f57bc33c1a6af910e71e88796402"/>
    <w:p>
      <w:pPr>
        <w:pStyle w:val="Heading5"/>
      </w:pPr>
      <w:r>
        <w:t xml:space="preserve">Start of Entrainment Management (Adult Longfin Smelt)</w:t>
      </w:r>
    </w:p>
    <w:p>
      <w:pPr>
        <w:pStyle w:val="Compact"/>
        <w:numPr>
          <w:ilvl w:val="0"/>
          <w:numId w:val="1011"/>
        </w:numPr>
      </w:pPr>
      <w:r>
        <w:t xml:space="preserve">Not relevant</w:t>
      </w:r>
    </w:p>
    <w:bookmarkEnd w:id="65"/>
    <w:bookmarkStart w:id="66" w:name="adult-longfin-smelt"/>
    <w:p>
      <w:pPr>
        <w:pStyle w:val="Heading5"/>
      </w:pPr>
      <w:r>
        <w:t xml:space="preserve">Adult longfin smelt</w:t>
      </w:r>
    </w:p>
    <w:p>
      <w:pPr>
        <w:pStyle w:val="Compact"/>
        <w:numPr>
          <w:ilvl w:val="0"/>
          <w:numId w:val="1012"/>
        </w:numPr>
      </w:pPr>
      <w:r>
        <w:rPr>
          <w:b/>
          <w:bCs/>
        </w:rPr>
        <w:t xml:space="preserve">Threshold:</w:t>
      </w:r>
      <w:r>
        <w:t xml:space="preserve"> </w:t>
      </w:r>
      <w:r>
        <w:t xml:space="preserve">JPF &lt; 0 cfs, annual loss is on a trajectory to exceed 5% of the adult population abundance, and reduced exports will reduce entrainment in the south Delta</w:t>
      </w:r>
    </w:p>
    <w:p>
      <w:pPr>
        <w:pStyle w:val="Compact"/>
        <w:numPr>
          <w:ilvl w:val="1"/>
          <w:numId w:val="1013"/>
        </w:numPr>
      </w:pPr>
      <w:r>
        <w:t xml:space="preserve">Daily average JPF: 1.9766</w:t>
      </w:r>
      <w:r>
        <w:t xml:space="preserve">^{4} cfs as of Jan 07, 2026</w:t>
      </w:r>
    </w:p>
    <w:p>
      <w:pPr>
        <w:pStyle w:val="Compact"/>
        <w:numPr>
          <w:ilvl w:val="1"/>
          <w:numId w:val="1013"/>
        </w:numPr>
      </w:pPr>
      <w:r>
        <w:t xml:space="preserve">Water year total adult longfin smelt salvage = 0</w:t>
      </w:r>
    </w:p>
    <w:bookmarkEnd w:id="66"/>
    <w:bookmarkStart w:id="67" w:name="larvaljuvenile-longfin-smelt"/>
    <w:p>
      <w:pPr>
        <w:pStyle w:val="Heading5"/>
      </w:pPr>
      <w:r>
        <w:t xml:space="preserve">Larval/juvenile longfin smelt</w:t>
      </w:r>
    </w:p>
    <w:p>
      <w:pPr>
        <w:pStyle w:val="Compact"/>
        <w:numPr>
          <w:ilvl w:val="0"/>
          <w:numId w:val="1014"/>
        </w:numPr>
      </w:pPr>
      <w:r>
        <w:rPr>
          <w:b/>
          <w:bCs/>
        </w:rPr>
        <w:t xml:space="preserve">Threshold:</w:t>
      </w:r>
      <w:r>
        <w:t xml:space="preserve"> </w:t>
      </w:r>
      <w:r>
        <w:t xml:space="preserve">JPF &lt; 0 cfs AND population model demonstrates need to reduce entrainment to avoid population decline</w:t>
      </w:r>
    </w:p>
    <w:p>
      <w:pPr>
        <w:pStyle w:val="Compact"/>
        <w:numPr>
          <w:ilvl w:val="1"/>
          <w:numId w:val="1015"/>
        </w:numPr>
      </w:pPr>
      <w:r>
        <w:t xml:space="preserve">Daily average JPF: 1.9766</w:t>
      </w:r>
      <w:r>
        <w:t xml:space="preserve">^{4} cfs as of Jan 07, 2026</w:t>
      </w:r>
    </w:p>
    <w:bookmarkEnd w:id="67"/>
    <w:bookmarkEnd w:id="68"/>
    <w:bookmarkStart w:id="69" w:name="evaluation-1"/>
    <w:p>
      <w:pPr>
        <w:pStyle w:val="Heading4"/>
      </w:pPr>
      <w:r>
        <w:t xml:space="preserve">Evaluation</w:t>
      </w:r>
    </w:p>
    <w:bookmarkEnd w:id="69"/>
    <w:bookmarkEnd w:id="70"/>
    <w:bookmarkStart w:id="71" w:name="end-of-smelt-entrainment-management"/>
    <w:p>
      <w:pPr>
        <w:pStyle w:val="Heading3"/>
      </w:pPr>
      <w:r>
        <w:t xml:space="preserve">End of smelt Entrainment Management</w:t>
      </w:r>
    </w:p>
    <w:p>
      <w:pPr>
        <w:pStyle w:val="Compact"/>
        <w:numPr>
          <w:ilvl w:val="0"/>
          <w:numId w:val="1016"/>
        </w:numPr>
      </w:pPr>
      <w:r>
        <w:t xml:space="preserve">Not relevant</w:t>
      </w:r>
    </w:p>
    <w:bookmarkEnd w:id="71"/>
    <w:bookmarkStart w:id="72" w:name="references"/>
    <w:p>
      <w:pPr>
        <w:pStyle w:val="Heading3"/>
      </w:pPr>
      <w:r>
        <w:t xml:space="preserve">References</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60" Target="media/rId60.png" /><Relationship Type="http://schemas.openxmlformats.org/officeDocument/2006/relationships/image" Id="rId55" Target="media/rId55.png" /><Relationship Type="http://schemas.openxmlformats.org/officeDocument/2006/relationships/hyperlink" Id="rId48"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_rels/footnotes.xml.rels><?xml version="1.0" encoding="UTF-8"?><Relationships xmlns="http://schemas.openxmlformats.org/package/2006/relationships"><Relationship Type="http://schemas.openxmlformats.org/officeDocument/2006/relationships/hyperlink" Id="rId48"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2026-01-09T18:04:50Z</dcterms:created>
  <dcterms:modified xsi:type="dcterms:W3CDTF">2026-01-09T18:04:50Z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