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0.png" ContentType="image/png"/>
  <Override PartName="/word/media/rId25.png" ContentType="image/png"/>
  <Override PartName="/word/media/rId5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826eb71b2e7ccf0cae7c428170c7924ae60314"/>
    <w:p>
      <w:pPr>
        <w:pStyle w:val="Heading2"/>
      </w:pPr>
      <w:r>
        <w:t xml:space="preserve">Weekly Assessment for Delta Operations on ESA and CESA-listed Osmerids</w:t>
      </w:r>
    </w:p>
    <w:p>
      <w:pPr>
        <w:pStyle w:val="FirstParagraph"/>
      </w:pPr>
      <w:r>
        <w:t xml:space="preserve">Last updated:</w:t>
      </w:r>
      <w:r>
        <w:t xml:space="preserve"> </w:t>
      </w:r>
      <w:r>
        <w:rPr>
          <w:i/>
          <w:iCs/>
        </w:rPr>
        <w:t xml:space="preserve">January 26, 2026</w:t>
      </w:r>
    </w:p>
    <w:bookmarkStart w:id="20" w:name="executive-summary"/>
    <w:p>
      <w:pPr>
        <w:pStyle w:val="Heading3"/>
      </w:pPr>
      <w:r>
        <w:t xml:space="preserve">Executive Summary</w:t>
      </w:r>
    </w:p>
    <w:p>
      <w:pPr>
        <w:pStyle w:val="Compact"/>
        <w:numPr>
          <w:ilvl w:val="0"/>
          <w:numId w:val="1001"/>
        </w:numPr>
      </w:pPr>
      <w:r>
        <w:t xml:space="preserve">Entrainment management is currently active.</w:t>
      </w:r>
    </w:p>
    <w:p>
      <w:pPr>
        <w:pStyle w:val="Compact"/>
        <w:numPr>
          <w:ilvl w:val="0"/>
          <w:numId w:val="1001"/>
        </w:numPr>
      </w:pPr>
      <w:r>
        <w:t xml:space="preserve">Delta smelt were detected at Chipps Island and the Sacramento Deep Water Ship Channel.</w:t>
      </w:r>
    </w:p>
    <w:p>
      <w:pPr>
        <w:pStyle w:val="Compact"/>
        <w:numPr>
          <w:ilvl w:val="0"/>
          <w:numId w:val="1001"/>
        </w:numPr>
      </w:pPr>
      <w:r>
        <w:t xml:space="preserve">No Delta smelt or longfin smelt salvage has been observed this water year.</w:t>
      </w:r>
    </w:p>
    <w:p>
      <w:pPr>
        <w:pStyle w:val="Compact"/>
        <w:numPr>
          <w:ilvl w:val="0"/>
          <w:numId w:val="1001"/>
        </w:numPr>
      </w:pPr>
      <w:r>
        <w:t xml:space="preserve">Turbidity in the central/south Delta is moderate.</w:t>
      </w:r>
    </w:p>
    <w:bookmarkEnd w:id="20"/>
    <w:bookmarkStart w:id="22" w:name="operational-and-regulatory-conditions"/>
    <w:p>
      <w:pPr>
        <w:pStyle w:val="Heading3"/>
      </w:pPr>
      <w:r>
        <w:t xml:space="preserve">Operational and Regulatory Conditions</w:t>
      </w:r>
    </w:p>
    <w:p>
      <w:pPr>
        <w:pStyle w:val="Compact"/>
        <w:numPr>
          <w:ilvl w:val="0"/>
          <w:numId w:val="1002"/>
        </w:numPr>
      </w:pPr>
      <w:r>
        <w:t xml:space="preserve">See current Weekly Fish and Water Operations Outlook document.</w:t>
      </w:r>
    </w:p>
    <w:p>
      <w:pPr>
        <w:pStyle w:val="Compact"/>
        <w:numPr>
          <w:ilvl w:val="0"/>
          <w:numId w:val="1002"/>
        </w:numPr>
      </w:pPr>
      <w:r>
        <w:t xml:space="preserve">Additional information also available on the</w:t>
      </w:r>
      <w:r>
        <w:t xml:space="preserve"> </w:t>
      </w:r>
      <w:hyperlink r:id="rId21">
        <w:r>
          <w:rPr>
            <w:rStyle w:val="Hyperlink"/>
          </w:rPr>
          <w:t xml:space="preserve">SacPAS SMT page</w:t>
        </w:r>
      </w:hyperlink>
      <w:r>
        <w:t xml:space="preserve">.</w:t>
      </w:r>
    </w:p>
    <w:bookmarkEnd w:id="22"/>
    <w:bookmarkStart w:id="46" w:name="delta-smelt"/>
    <w:p>
      <w:pPr>
        <w:pStyle w:val="Heading3"/>
      </w:pPr>
      <w:r>
        <w:t xml:space="preserve">Delta smelt</w:t>
      </w:r>
    </w:p>
    <w:bookmarkStart w:id="34" w:name="biological"/>
    <w:p>
      <w:pPr>
        <w:pStyle w:val="Heading4"/>
      </w:pPr>
      <w:r>
        <w:t xml:space="preserve">Biological</w:t>
      </w:r>
    </w:p>
    <w:p>
      <w:pPr>
        <w:numPr>
          <w:ilvl w:val="0"/>
          <w:numId w:val="1003"/>
        </w:numPr>
      </w:pPr>
      <w:r>
        <w:rPr>
          <w:b/>
          <w:bCs/>
        </w:rPr>
        <w:t xml:space="preserve">Delta smelt life stages:</w:t>
      </w:r>
      <w:r>
        <w:t xml:space="preserve"> </w:t>
      </w:r>
      <w:r>
        <w:t xml:space="preserve">Adult</w:t>
      </w:r>
    </w:p>
    <w:p>
      <w:pPr>
        <w:numPr>
          <w:ilvl w:val="0"/>
          <w:numId w:val="1003"/>
        </w:numPr>
      </w:pPr>
      <w:r>
        <w:rPr>
          <w:b/>
          <w:bCs/>
        </w:rPr>
        <w:t xml:space="preserve">Abundance estimate:</w:t>
      </w:r>
      <w:r>
        <w:t xml:space="preserve"> </w:t>
      </w:r>
      <w:r>
        <w:t xml:space="preserve">258 (95% CL: 16 to 1,219) as of the week of January 19–23, 2026</w:t>
      </w:r>
    </w:p>
    <w:p>
      <w:pPr>
        <w:numPr>
          <w:ilvl w:val="0"/>
          <w:numId w:val="1003"/>
        </w:numPr>
      </w:pPr>
      <w:r>
        <w:rPr>
          <w:b/>
          <w:bCs/>
        </w:rPr>
        <w:t xml:space="preserve">Releases:</w:t>
      </w:r>
      <w:r>
        <w:t xml:space="preserve"> </w:t>
      </w:r>
      <w:r>
        <w:t xml:space="preserve">A total of 163,349 cultured Delta smelt have been released for WY 2026. The most recent release of 24,606 fish occurred in Sacramento River at Rio Vista on Dec 16, 2025.</w:t>
      </w:r>
    </w:p>
    <w:p>
      <w:pPr>
        <w:numPr>
          <w:ilvl w:val="0"/>
          <w:numId w:val="1003"/>
        </w:numPr>
      </w:pPr>
      <w:r>
        <w:rPr>
          <w:b/>
          <w:bCs/>
        </w:rPr>
        <w:t xml:space="preserve">Delta smelt count:</w:t>
      </w:r>
      <w:r>
        <w:t xml:space="preserve"> </w:t>
      </w:r>
      <w:r>
        <w:t xml:space="preserve">34 adult Delta smelt and 24 juvenile Delta smelt have been detected this water year. See</w:t>
      </w:r>
      <w:r>
        <w:t xml:space="preserve"> </w:t>
      </w:r>
      <w:hyperlink w:anchor="tbl-ds-recent-catch">
        <w:r>
          <w:rPr>
            <w:rStyle w:val="Hyperlink"/>
          </w:rPr>
          <w:t xml:space="preserve">Table 1</w:t>
        </w:r>
      </w:hyperlink>
      <w:r>
        <w:t xml:space="preserve"> </w:t>
      </w:r>
      <w:r>
        <w:t xml:space="preserve">for recent detections,</w:t>
      </w:r>
      <w:r>
        <w:t xml:space="preserve"> </w:t>
      </w:r>
      <w:hyperlink w:anchor="fig-ds-map">
        <w:r>
          <w:rPr>
            <w:rStyle w:val="Hyperlink"/>
          </w:rPr>
          <w:t xml:space="preserve">Figure 1</w:t>
        </w:r>
      </w:hyperlink>
      <w:r>
        <w:t xml:space="preserve"> </w:t>
      </w:r>
      <w:r>
        <w:t xml:space="preserve">for spatial distribution, and</w:t>
      </w:r>
      <w:r>
        <w:t xml:space="preserve"> </w:t>
      </w:r>
      <w:hyperlink w:anchor="fig-ds-catch">
        <w:r>
          <w:rPr>
            <w:rStyle w:val="Hyperlink"/>
          </w:rPr>
          <w:t xml:space="preserve">Figure 2</w:t>
        </w:r>
      </w:hyperlink>
      <w:r>
        <w:t xml:space="preserve"> </w:t>
      </w:r>
      <w:r>
        <w:t xml:space="preserve">for temporal distribution.</w:t>
      </w:r>
    </w:p>
    <w:p>
      <w:pPr>
        <w:numPr>
          <w:ilvl w:val="0"/>
          <w:numId w:val="1003"/>
        </w:numPr>
      </w:pPr>
      <w:r>
        <w:rPr>
          <w:b/>
          <w:bCs/>
        </w:rPr>
        <w:t xml:space="preserve">Delta smelt salvage:</w:t>
      </w:r>
      <w:r>
        <w:t xml:space="preserve"> </w:t>
      </w:r>
      <w:r>
        <w:t xml:space="preserve">0 Delta smelt have been salvaged, and the cumulative seasonal salvage is 0.</w:t>
      </w:r>
    </w:p>
    <w:p>
      <w:pPr>
        <w:pStyle w:val="FirstParagraph"/>
      </w:pPr>
      <w:r>
        <w:rPr>
          <w:b/>
          <w:bCs/>
        </w:rPr>
        <w:t xml:space="preserve">Notes</w:t>
      </w:r>
    </w:p>
    <w:p>
      <w:pPr>
        <w:pStyle w:val="Compact"/>
        <w:numPr>
          <w:ilvl w:val="0"/>
          <w:numId w:val="1004"/>
        </w:numPr>
      </w:pPr>
      <w:r>
        <w:t xml:space="preserve">Since there are few recent detections of Delta smelt, estimation of distribution within the Delta is limited.</w:t>
      </w:r>
    </w:p>
    <w:p>
      <w:pPr>
        <w:pStyle w:val="Compact"/>
        <w:numPr>
          <w:ilvl w:val="0"/>
          <w:numId w:val="1004"/>
        </w:numPr>
      </w:pPr>
      <w:r>
        <w:t xml:space="preserve">As mentioned in EDSM reporting, fork length ranges reported for Delta smelt and longfin smelt life stages are defined by permit reporting purposes and are not intended to delineate cohorts or distinguish from hatchery or wild origin. See</w:t>
      </w:r>
      <w:r>
        <w:t xml:space="preserve"> </w:t>
      </w:r>
      <w:hyperlink w:anchor="tbl-ds-recent-catch">
        <w:r>
          <w:rPr>
            <w:rStyle w:val="Hyperlink"/>
          </w:rPr>
          <w:t xml:space="preserve">Table 1</w:t>
        </w:r>
      </w:hyperlink>
      <w:r>
        <w:t xml:space="preserve"> </w:t>
      </w:r>
      <w:r>
        <w:t xml:space="preserve">caption for fork-length ranges for age groups of Delta smelt.</w:t>
      </w:r>
    </w:p>
    <w:p>
      <w:pPr>
        <w:pStyle w:val="Compact"/>
        <w:numPr>
          <w:ilvl w:val="0"/>
          <w:numId w:val="1004"/>
        </w:numPr>
      </w:pPr>
      <w:r>
        <w:t xml:space="preserve">See</w:t>
      </w:r>
      <w:r>
        <w:t xml:space="preserve"> </w:t>
      </w:r>
      <w:hyperlink r:id="rId21">
        <w:r>
          <w:rPr>
            <w:rStyle w:val="Hyperlink"/>
          </w:rPr>
          <w:t xml:space="preserve">SacPAS SMT Page</w:t>
        </w:r>
      </w:hyperlink>
      <w:r>
        <w:t xml:space="preserve"> </w:t>
      </w:r>
      <w:r>
        <w:t xml:space="preserve">for additional details on releases and detection in surveys and salvage.</w:t>
      </w:r>
    </w:p>
    <w:p>
      <w:pPr>
        <w:pStyle w:val="Compact"/>
        <w:numPr>
          <w:ilvl w:val="0"/>
          <w:numId w:val="1004"/>
        </w:numPr>
      </w:pPr>
      <w:r>
        <w:t xml:space="preserve">Historical salvage trends can be found at:</w:t>
      </w:r>
      <w:r>
        <w:t xml:space="preserve"> </w:t>
      </w:r>
      <w:hyperlink r:id="rId23">
        <w:r>
          <w:rPr>
            <w:rStyle w:val="Hyperlink"/>
          </w:rPr>
          <w:t xml:space="preserve">SacPAS Salvage Timing</w:t>
        </w:r>
      </w:hyperlink>
    </w:p>
    <w:tbl>
      <w:tblPr>
        <w:tblStyle w:val="Table"/>
        <w:tblW w:type="pct" w:w="5000"/>
        <w:tblLayout w:type="fixed"/>
        <w:tblLook w:firstRow="0" w:lastRow="0" w:firstColumn="0" w:lastColumn="0" w:noHBand="0" w:noVBand="0" w:val="0000"/>
      </w:tblPr>
      <w:tblGrid>
        <w:gridCol w:w="7920"/>
      </w:tblGrid>
      <w:tr>
        <w:tc>
          <w:tcPr/>
          <w:bookmarkStart w:id="24" w:name="tbl-ds-recent-catch"/>
          <w:p>
            <w:pPr>
              <w:jc w:val="center"/>
            </w:pPr>
            <w:pPr>
              <w:jc w:val="start"/>
              <w:spacing w:before="200"/>
              <w:pStyle w:val="ImageCaption"/>
            </w:pPr>
            <w:r>
              <w:t xml:space="preserve">Table 1: Delta smelt detections in the last 2 weeks. Fork Length &gt; 58mm = Adult, Fork Length 20-58mm = Juvenile, Fork Length &lt; 20mm = Larva.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Survey</w:t>
                  </w:r>
                </w:p>
              </w:tc>
              <w:tc>
                <w:tcPr/>
                <w:p>
                  <w:pPr>
                    <w:pStyle w:val="Compact"/>
                    <w:jc w:val="left"/>
                    <w:jc w:val="center"/>
                  </w:pPr>
                  <w:r>
                    <w:t xml:space="preserve">Date</w:t>
                  </w:r>
                </w:p>
              </w:tc>
              <w:tc>
                <w:tcPr/>
                <w:p>
                  <w:pPr>
                    <w:pStyle w:val="Compact"/>
                    <w:jc w:val="left"/>
                    <w:jc w:val="center"/>
                  </w:pPr>
                  <w:r>
                    <w:t xml:space="preserve">Region</w:t>
                  </w:r>
                </w:p>
              </w:tc>
              <w:tc>
                <w:tcPr/>
                <w:p>
                  <w:pPr>
                    <w:pStyle w:val="Compact"/>
                    <w:jc w:val="left"/>
                    <w:jc w:val="center"/>
                  </w:pPr>
                  <w:r>
                    <w:t xml:space="preserve">Stratum</w:t>
                  </w:r>
                </w:p>
              </w:tc>
              <w:tc>
                <w:tcPr/>
                <w:p>
                  <w:pPr>
                    <w:pStyle w:val="Compact"/>
                    <w:jc w:val="left"/>
                    <w:jc w:val="center"/>
                  </w:pPr>
                  <w:r>
                    <w:t xml:space="preserve">Life Stage</w:t>
                  </w:r>
                </w:p>
              </w:tc>
              <w:tc>
                <w:tcPr/>
                <w:p>
                  <w:pPr>
                    <w:pStyle w:val="Compact"/>
                    <w:jc w:val="right"/>
                    <w:jc w:val="center"/>
                  </w:pPr>
                  <w:r>
                    <w:t xml:space="preserve">Catch</w:t>
                  </w:r>
                </w:p>
              </w:tc>
            </w:tr>
            <w:tr>
              <w:tc>
                <w:tcPr/>
                <w:p>
                  <w:pPr>
                    <w:pStyle w:val="Compact"/>
                    <w:jc w:val="left"/>
                    <w:jc w:val="center"/>
                  </w:pPr>
                  <w:r>
                    <w:t xml:space="preserve">EDSM</w:t>
                  </w:r>
                </w:p>
              </w:tc>
              <w:tc>
                <w:tcPr/>
                <w:p>
                  <w:pPr>
                    <w:pStyle w:val="Compact"/>
                    <w:jc w:val="left"/>
                    <w:jc w:val="center"/>
                  </w:pPr>
                  <w:r>
                    <w:t xml:space="preserve">2026-01-22</w:t>
                  </w:r>
                </w:p>
              </w:tc>
              <w:tc>
                <w:tcPr/>
                <w:p>
                  <w:pPr>
                    <w:pStyle w:val="Compact"/>
                    <w:jc w:val="left"/>
                    <w:jc w:val="center"/>
                  </w:pPr>
                  <w:r>
                    <w:t xml:space="preserve">North</w:t>
                  </w:r>
                </w:p>
              </w:tc>
              <w:tc>
                <w:tcPr/>
                <w:p>
                  <w:pPr>
                    <w:pStyle w:val="Compact"/>
                    <w:jc w:val="left"/>
                    <w:jc w:val="center"/>
                  </w:pPr>
                  <w:r>
                    <w:t xml:space="preserve">Sac Deep Water</w:t>
                  </w:r>
                </w:p>
              </w:tc>
              <w:tc>
                <w:tcPr/>
                <w:p>
                  <w:pPr>
                    <w:pStyle w:val="Compact"/>
                    <w:jc w:val="left"/>
                    <w:jc w:val="center"/>
                  </w:pPr>
                  <w:r>
                    <w:t xml:space="preserve">Adult</w:t>
                  </w:r>
                </w:p>
              </w:tc>
              <w:tc>
                <w:tcPr/>
                <w:p>
                  <w:pPr>
                    <w:pStyle w:val="Compact"/>
                    <w:jc w:val="right"/>
                    <w:jc w:val="center"/>
                  </w:pPr>
                  <w:r>
                    <w:t xml:space="preserve">1</w:t>
                  </w:r>
                </w:p>
              </w:tc>
            </w:tr>
          </w:tbl>
          <w:bookmarkEnd w:id="24"/>
          <w:p/>
        </w:tc>
      </w:tr>
    </w:tbl>
    <w:tbl>
      <w:tblPr>
        <w:tblStyle w:val="Table"/>
        <w:tblW w:type="pct" w:w="5000"/>
        <w:tblLayout w:type="fixed"/>
        <w:tblLook w:firstRow="0" w:lastRow="0" w:firstColumn="0" w:lastColumn="0" w:noHBand="0" w:noVBand="0" w:val="0000"/>
      </w:tblPr>
      <w:tblGrid>
        <w:gridCol w:w="7920"/>
      </w:tblGrid>
      <w:tr>
        <w:tc>
          <w:tcPr/>
          <w:bookmarkStart w:id="28" w:name="fig-ds-map"/>
          <w:p>
            <w:pPr>
              <w:pStyle w:val="Compact"/>
              <w:jc w:val="center"/>
            </w:pPr>
            <w:r>
              <w:drawing>
                <wp:inline>
                  <wp:extent cx="5334000" cy="4667249"/>
                  <wp:effectExtent b="0" l="0" r="0" t="0"/>
                  <wp:docPr descr="" title="" id="26" name="Picture"/>
                  <a:graphic>
                    <a:graphicData uri="http://schemas.openxmlformats.org/drawingml/2006/picture">
                      <pic:pic>
                        <pic:nvPicPr>
                          <pic:cNvPr descr="smt-assessment-v1_files/figure-docx/fig-ds-map-1.png" id="27" name="Picture"/>
                          <pic:cNvPicPr>
                            <a:picLocks noChangeArrowheads="1" noChangeAspect="1"/>
                          </pic:cNvPicPr>
                        </pic:nvPicPr>
                        <pic:blipFill>
                          <a:blip r:embed="rId25"/>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Delta smelt distribution for WY 2026</w:t>
            </w:r>
          </w:p>
          <w:bookmarkEnd w:id="28"/>
        </w:tc>
      </w:tr>
    </w:tbl>
    <w:tbl>
      <w:tblPr>
        <w:tblStyle w:val="Table"/>
        <w:tblW w:type="pct" w:w="5000"/>
        <w:tblLayout w:type="fixed"/>
        <w:tblLook w:firstRow="0" w:lastRow="0" w:firstColumn="0" w:lastColumn="0" w:noHBand="0" w:noVBand="0" w:val="0000"/>
      </w:tblPr>
      <w:tblGrid>
        <w:gridCol w:w="7920"/>
      </w:tblGrid>
      <w:tr>
        <w:tc>
          <w:tcPr/>
          <w:bookmarkStart w:id="29" w:name="tbl-catch-all"/>
          <w:p>
            <w:pPr>
              <w:jc w:val="center"/>
            </w:pPr>
            <w:pPr>
              <w:jc w:val="start"/>
              <w:spacing w:before="200"/>
              <w:pStyle w:val="ImageCaption"/>
            </w:pPr>
            <w:r>
              <w:t xml:space="preserve">Table 2: Delta smelt water year totals by life stage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Survey</w:t>
                  </w:r>
                </w:p>
              </w:tc>
              <w:tc>
                <w:tcPr/>
                <w:p>
                  <w:pPr>
                    <w:pStyle w:val="Compact"/>
                    <w:jc w:val="left"/>
                    <w:jc w:val="center"/>
                  </w:pPr>
                  <w:r>
                    <w:t xml:space="preserve">Region</w:t>
                  </w:r>
                </w:p>
              </w:tc>
              <w:tc>
                <w:tcPr/>
                <w:p>
                  <w:pPr>
                    <w:pStyle w:val="Compact"/>
                    <w:jc w:val="left"/>
                    <w:jc w:val="center"/>
                  </w:pPr>
                  <w:r>
                    <w:t xml:space="preserve">Life Stage</w:t>
                  </w:r>
                </w:p>
              </w:tc>
              <w:tc>
                <w:tcPr/>
                <w:p>
                  <w:pPr>
                    <w:pStyle w:val="Compact"/>
                    <w:jc w:val="right"/>
                    <w:jc w:val="center"/>
                  </w:pPr>
                  <w:r>
                    <w:t xml:space="preserve">Total</w:t>
                  </w:r>
                </w:p>
              </w:tc>
            </w:tr>
            <w:tr>
              <w:tc>
                <w:tcPr/>
                <w:p>
                  <w:pPr>
                    <w:pStyle w:val="Compact"/>
                    <w:jc w:val="left"/>
                    <w:jc w:val="center"/>
                  </w:pPr>
                  <w:r>
                    <w:t xml:space="preserve">DJFMP</w:t>
                  </w:r>
                </w:p>
              </w:tc>
              <w:tc>
                <w:tcPr/>
                <w:p>
                  <w:pPr>
                    <w:pStyle w:val="Compact"/>
                    <w:jc w:val="left"/>
                    <w:jc w:val="center"/>
                  </w:pPr>
                  <w:r>
                    <w:t xml:space="preserve">North</w:t>
                  </w:r>
                </w:p>
              </w:tc>
              <w:tc>
                <w:tcPr/>
                <w:p>
                  <w:pPr>
                    <w:pStyle w:val="Compact"/>
                    <w:jc w:val="left"/>
                    <w:jc w:val="center"/>
                  </w:pPr>
                  <w:r>
                    <w:t xml:space="preserve">Juvenile</w:t>
                  </w:r>
                </w:p>
              </w:tc>
              <w:tc>
                <w:tcPr/>
                <w:p>
                  <w:pPr>
                    <w:pStyle w:val="Compact"/>
                    <w:jc w:val="right"/>
                    <w:jc w:val="center"/>
                  </w:pPr>
                  <w:r>
                    <w:t xml:space="preserve">1</w:t>
                  </w:r>
                </w:p>
              </w:tc>
            </w:tr>
            <w:tr>
              <w:tc>
                <w:tcPr/>
                <w:p>
                  <w:pPr>
                    <w:pStyle w:val="Compact"/>
                    <w:jc w:val="left"/>
                    <w:jc w:val="center"/>
                  </w:pPr>
                  <w:r>
                    <w:t xml:space="preserve">EDSM</w:t>
                  </w:r>
                </w:p>
              </w:tc>
              <w:tc>
                <w:tcPr/>
                <w:p>
                  <w:pPr>
                    <w:pStyle w:val="Compact"/>
                    <w:jc w:val="left"/>
                    <w:jc w:val="center"/>
                  </w:pPr>
                  <w:r>
                    <w:t xml:space="preserve">North</w:t>
                  </w:r>
                </w:p>
              </w:tc>
              <w:tc>
                <w:tcPr/>
                <w:p>
                  <w:pPr>
                    <w:pStyle w:val="Compact"/>
                    <w:jc w:val="left"/>
                    <w:jc w:val="center"/>
                  </w:pPr>
                  <w:r>
                    <w:t xml:space="preserve">Adult</w:t>
                  </w:r>
                </w:p>
              </w:tc>
              <w:tc>
                <w:tcPr/>
                <w:p>
                  <w:pPr>
                    <w:pStyle w:val="Compact"/>
                    <w:jc w:val="right"/>
                    <w:jc w:val="center"/>
                  </w:pPr>
                  <w:r>
                    <w:t xml:space="preserve">2</w:t>
                  </w:r>
                </w:p>
              </w:tc>
            </w:tr>
            <w:tr>
              <w:tc>
                <w:tcPr/>
                <w:p>
                  <w:pPr>
                    <w:pStyle w:val="Compact"/>
                    <w:jc w:val="left"/>
                    <w:jc w:val="center"/>
                  </w:pPr>
                  <w:r>
                    <w:t xml:space="preserve">EDSM</w:t>
                  </w:r>
                </w:p>
              </w:tc>
              <w:tc>
                <w:tcPr/>
                <w:p>
                  <w:pPr>
                    <w:pStyle w:val="Compact"/>
                    <w:jc w:val="left"/>
                    <w:jc w:val="center"/>
                  </w:pPr>
                  <w:r>
                    <w:t xml:space="preserve">West</w:t>
                  </w:r>
                </w:p>
              </w:tc>
              <w:tc>
                <w:tcPr/>
                <w:p>
                  <w:pPr>
                    <w:pStyle w:val="Compact"/>
                    <w:jc w:val="left"/>
                    <w:jc w:val="center"/>
                  </w:pPr>
                  <w:r>
                    <w:t xml:space="preserve">Adult</w:t>
                  </w:r>
                </w:p>
              </w:tc>
              <w:tc>
                <w:tcPr/>
                <w:p>
                  <w:pPr>
                    <w:pStyle w:val="Compact"/>
                    <w:jc w:val="right"/>
                    <w:jc w:val="center"/>
                  </w:pPr>
                  <w:r>
                    <w:t xml:space="preserve">32</w:t>
                  </w:r>
                </w:p>
              </w:tc>
            </w:tr>
            <w:tr>
              <w:tc>
                <w:tcPr/>
                <w:p>
                  <w:pPr>
                    <w:pStyle w:val="Compact"/>
                    <w:jc w:val="left"/>
                    <w:jc w:val="center"/>
                  </w:pPr>
                  <w:r>
                    <w:t xml:space="preserve">EDSM</w:t>
                  </w:r>
                </w:p>
              </w:tc>
              <w:tc>
                <w:tcPr/>
                <w:p>
                  <w:pPr>
                    <w:pStyle w:val="Compact"/>
                    <w:jc w:val="left"/>
                    <w:jc w:val="center"/>
                  </w:pPr>
                  <w:r>
                    <w:t xml:space="preserve">West</w:t>
                  </w:r>
                </w:p>
              </w:tc>
              <w:tc>
                <w:tcPr/>
                <w:p>
                  <w:pPr>
                    <w:pStyle w:val="Compact"/>
                    <w:jc w:val="left"/>
                    <w:jc w:val="center"/>
                  </w:pPr>
                  <w:r>
                    <w:t xml:space="preserve">Juvenile</w:t>
                  </w:r>
                </w:p>
              </w:tc>
              <w:tc>
                <w:tcPr/>
                <w:p>
                  <w:pPr>
                    <w:pStyle w:val="Compact"/>
                    <w:jc w:val="right"/>
                    <w:jc w:val="center"/>
                  </w:pPr>
                  <w:r>
                    <w:t xml:space="preserve">23</w:t>
                  </w:r>
                </w:p>
              </w:tc>
            </w:tr>
          </w:tbl>
          <w:bookmarkEnd w:id="29"/>
          <w:p/>
        </w:tc>
      </w:tr>
    </w:tbl>
    <w:tbl>
      <w:tblPr>
        <w:tblStyle w:val="Table"/>
        <w:tblW w:type="pct" w:w="5000"/>
        <w:tblLayout w:type="fixed"/>
        <w:tblLook w:firstRow="0" w:lastRow="0" w:firstColumn="0" w:lastColumn="0" w:noHBand="0" w:noVBand="0" w:val="0000"/>
      </w:tblPr>
      <w:tblGrid>
        <w:gridCol w:w="7920"/>
      </w:tblGrid>
      <w:tr>
        <w:tc>
          <w:tcPr/>
          <w:bookmarkStart w:id="33" w:name="fig-ds-catch"/>
          <w:p>
            <w:pPr>
              <w:pStyle w:val="Compact"/>
              <w:jc w:val="center"/>
            </w:pPr>
            <w:r>
              <w:drawing>
                <wp:inline>
                  <wp:extent cx="4576576" cy="3661261"/>
                  <wp:effectExtent b="0" l="0" r="0" t="0"/>
                  <wp:docPr descr="" title="" id="31" name="Picture"/>
                  <a:graphic>
                    <a:graphicData uri="http://schemas.openxmlformats.org/drawingml/2006/picture">
                      <pic:pic>
                        <pic:nvPicPr>
                          <pic:cNvPr descr="smt-assessment-v1_files/figure-docx/fig-ds-catch-1.png" id="32" name="Picture"/>
                          <pic:cNvPicPr>
                            <a:picLocks noChangeArrowheads="1" noChangeAspect="1"/>
                          </pic:cNvPicPr>
                        </pic:nvPicPr>
                        <pic:blipFill>
                          <a:blip r:embed="rId30"/>
                          <a:stretch>
                            <a:fillRect/>
                          </a:stretch>
                        </pic:blipFill>
                        <pic:spPr bwMode="auto">
                          <a:xfrm>
                            <a:off x="0" y="0"/>
                            <a:ext cx="4576576" cy="36612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Time series of Delta smelt catch, WY 2026</w:t>
            </w:r>
          </w:p>
          <w:bookmarkEnd w:id="33"/>
        </w:tc>
      </w:tr>
    </w:tbl>
    <w:bookmarkEnd w:id="34"/>
    <w:bookmarkStart w:id="36" w:name="environmental"/>
    <w:p>
      <w:pPr>
        <w:pStyle w:val="Heading4"/>
      </w:pPr>
      <w:r>
        <w:t xml:space="preserve">Environmental</w:t>
      </w:r>
    </w:p>
    <w:bookmarkStart w:id="35" w:name="first-flush"/>
    <w:p>
      <w:pPr>
        <w:pStyle w:val="Heading5"/>
      </w:pPr>
      <w:r>
        <w:t xml:space="preserve">First Flush</w:t>
      </w:r>
    </w:p>
    <w:p>
      <w:pPr>
        <w:pStyle w:val="Compact"/>
        <w:numPr>
          <w:ilvl w:val="0"/>
          <w:numId w:val="1005"/>
        </w:numPr>
      </w:pPr>
      <w:r>
        <w:t xml:space="preserve">Not relevant</w:t>
      </w:r>
    </w:p>
    <w:bookmarkEnd w:id="35"/>
    <w:bookmarkEnd w:id="36"/>
    <w:bookmarkStart w:id="43" w:name="real-time-assessment-thresholds"/>
    <w:p>
      <w:pPr>
        <w:pStyle w:val="Heading4"/>
      </w:pPr>
      <w:r>
        <w:t xml:space="preserve">Real-time Assessment Thresholds</w:t>
      </w:r>
    </w:p>
    <w:bookmarkStart w:id="41" w:name="adult-delta-smelt"/>
    <w:p>
      <w:pPr>
        <w:pStyle w:val="Heading5"/>
      </w:pPr>
      <w:r>
        <w:t xml:space="preserve">Adult Delta smelt</w:t>
      </w:r>
    </w:p>
    <w:p>
      <w:pPr>
        <w:pStyle w:val="FirstParagraph"/>
      </w:pPr>
      <w:r>
        <w:rPr>
          <w:b/>
          <w:bCs/>
        </w:rPr>
        <w:t xml:space="preserve">Threshold</w:t>
      </w:r>
      <w:r>
        <w:t xml:space="preserve">: If daily average JPF &lt; 0 AND turbidity</w:t>
      </w:r>
      <w:r>
        <w:t xml:space="preserve"> </w:t>
      </w:r>
      <m:oMath>
        <m:r>
          <m:rPr>
            <m:sty m:val="p"/>
          </m:rPr>
          <m:t>≥</m:t>
        </m:r>
      </m:oMath>
      <w:r>
        <w:t xml:space="preserve"> </w:t>
      </w:r>
      <w:r>
        <w:t xml:space="preserve">12 FNU at OBI, HOL and OSJ</w:t>
      </w:r>
    </w:p>
    <w:p>
      <w:pPr>
        <w:pStyle w:val="Compact"/>
        <w:numPr>
          <w:ilvl w:val="0"/>
          <w:numId w:val="1006"/>
        </w:numPr>
      </w:pPr>
      <w:r>
        <w:rPr>
          <w:b/>
          <w:bCs/>
        </w:rPr>
        <w:t xml:space="preserve">JPF</w:t>
      </w:r>
      <w:r>
        <w:t xml:space="preserve">: 2,148 cfs as of Jan 25, 2026</w:t>
      </w:r>
    </w:p>
    <w:p>
      <w:pPr>
        <w:pStyle w:val="Compact"/>
        <w:numPr>
          <w:ilvl w:val="0"/>
          <w:numId w:val="1006"/>
        </w:numPr>
      </w:pPr>
      <w:r>
        <w:rPr>
          <w:b/>
          <w:bCs/>
        </w:rPr>
        <w:t xml:space="preserve">OBI Turbidity</w:t>
      </w:r>
      <w:r>
        <w:t xml:space="preserve">: 6.49, 6.35, 5.97 FNU as of Jan 25, 2026</w:t>
      </w:r>
    </w:p>
    <w:p>
      <w:pPr>
        <w:pStyle w:val="Compact"/>
        <w:numPr>
          <w:ilvl w:val="0"/>
          <w:numId w:val="1006"/>
        </w:numPr>
      </w:pPr>
      <w:r>
        <w:rPr>
          <w:b/>
          <w:bCs/>
        </w:rPr>
        <w:t xml:space="preserve">HOL Turbidity</w:t>
      </w:r>
      <w:r>
        <w:t xml:space="preserve">: 6.13, 6.19, 6.02 FNU as of Jan 25, 2026</w:t>
      </w:r>
    </w:p>
    <w:p>
      <w:pPr>
        <w:pStyle w:val="Compact"/>
        <w:numPr>
          <w:ilvl w:val="0"/>
          <w:numId w:val="1006"/>
        </w:numPr>
      </w:pPr>
      <w:r>
        <w:rPr>
          <w:b/>
          <w:bCs/>
        </w:rPr>
        <w:t xml:space="preserve">OSJ Turbidity</w:t>
      </w:r>
      <w:r>
        <w:t xml:space="preserve">: 10.3, 9.74, 8.43 FNU as of Jan 25, 2026</w:t>
      </w:r>
    </w:p>
    <w:p>
      <w:pPr>
        <w:pStyle w:val="FirstParagraph"/>
      </w:pPr>
      <w:r>
        <w:rPr>
          <w:b/>
          <w:bCs/>
        </w:rPr>
        <w:t xml:space="preserve">Offramp Adult Protections</w:t>
      </w:r>
      <w:r>
        <w:t xml:space="preserve"> </w:t>
      </w:r>
      <w:r>
        <w:t xml:space="preserve">when RVB or SJJ &gt; 12</w:t>
      </w:r>
      <m:oMath>
        <m:sSup>
          <m:e>
            <m:r>
              <m:t>​</m:t>
            </m:r>
          </m:e>
          <m:sup>
            <m:r>
              <m:rPr>
                <m:sty m:val="p"/>
              </m:rPr>
              <m:t>∘</m:t>
            </m:r>
          </m:sup>
        </m:sSup>
      </m:oMath>
      <w:r>
        <w:t xml:space="preserve">C</w:t>
      </w:r>
      <w:r>
        <w:t xml:space="preserve"> </w:t>
      </w:r>
    </w:p>
    <w:p>
      <w:pPr>
        <w:pStyle w:val="Compact"/>
        <w:numPr>
          <w:ilvl w:val="0"/>
          <w:numId w:val="1007"/>
        </w:numPr>
      </w:pPr>
      <w:r>
        <w:rPr>
          <w:b/>
          <w:bCs/>
        </w:rPr>
        <w:t xml:space="preserve">RVB temperature (3-day average)</w:t>
      </w:r>
      <w:r>
        <w:t xml:space="preserve">: 10.44</w:t>
      </w:r>
      <m:oMath>
        <m:sSup>
          <m:e>
            <m:r>
              <m:t>​</m:t>
            </m:r>
          </m:e>
          <m:sup>
            <m:r>
              <m:rPr>
                <m:sty m:val="p"/>
              </m:rPr>
              <m:t>∘</m:t>
            </m:r>
          </m:sup>
        </m:sSup>
      </m:oMath>
      <w:r>
        <w:t xml:space="preserve">C as of Jan 25, 2026</w:t>
      </w:r>
    </w:p>
    <w:p>
      <w:pPr>
        <w:pStyle w:val="FirstParagraph"/>
      </w:pPr>
      <w:r>
        <w:drawing>
          <wp:inline>
            <wp:extent cx="4533900" cy="3022600"/>
            <wp:effectExtent b="0" l="0" r="0" t="0"/>
            <wp:docPr descr="" title="" id="38" name="Picture"/>
            <a:graphic>
              <a:graphicData uri="http://schemas.openxmlformats.org/drawingml/2006/picture">
                <pic:pic>
                  <pic:nvPicPr>
                    <pic:cNvPr descr="smelt_figures/freeport_turbidity.png" id="39" name="Picture"/>
                    <pic:cNvPicPr>
                      <a:picLocks noChangeArrowheads="1" noChangeAspect="1"/>
                    </pic:cNvPicPr>
                  </pic:nvPicPr>
                  <pic:blipFill>
                    <a:blip r:embed="rId37"/>
                    <a:stretch>
                      <a:fillRect/>
                    </a:stretch>
                  </pic:blipFill>
                  <pic:spPr bwMode="auto">
                    <a:xfrm>
                      <a:off x="0" y="0"/>
                      <a:ext cx="4533900" cy="3022600"/>
                    </a:xfrm>
                    <a:prstGeom prst="rect">
                      <a:avLst/>
                    </a:prstGeom>
                    <a:noFill/>
                    <a:ln w="9525">
                      <a:noFill/>
                      <a:headEnd/>
                      <a:tailEnd/>
                    </a:ln>
                  </pic:spPr>
                </pic:pic>
              </a:graphicData>
            </a:graphic>
          </wp:inline>
        </w:drawing>
      </w:r>
    </w:p>
    <w:p>
      <w:pPr>
        <w:pStyle w:val="Compact"/>
        <w:numPr>
          <w:ilvl w:val="0"/>
          <w:numId w:val="1008"/>
        </w:numPr>
      </w:pPr>
      <w:r>
        <w:t xml:space="preserve">See</w:t>
      </w:r>
      <w:r>
        <w:t xml:space="preserve"> </w:t>
      </w:r>
      <w:hyperlink r:id="rId40">
        <w:r>
          <w:rPr>
            <w:rStyle w:val="Hyperlink"/>
          </w:rPr>
          <w:t xml:space="preserve">Bay-Delta Live</w:t>
        </w:r>
      </w:hyperlink>
      <w:r>
        <w:t xml:space="preserve"> </w:t>
      </w:r>
      <w:r>
        <w:t xml:space="preserve">for recent Delta-wide turbidity conditions.</w:t>
      </w:r>
      <w:r>
        <w:t xml:space="preserve"> </w:t>
      </w:r>
    </w:p>
    <w:bookmarkEnd w:id="41"/>
    <w:bookmarkStart w:id="42" w:name="larvaljuvenile-delta-smelt"/>
    <w:p>
      <w:pPr>
        <w:pStyle w:val="Heading5"/>
      </w:pPr>
      <w:r>
        <w:t xml:space="preserve">Larval/juvenile Delta smelt</w:t>
      </w:r>
    </w:p>
    <w:p>
      <w:pPr>
        <w:pStyle w:val="FirstParagraph"/>
      </w:pPr>
      <w:r>
        <w:rPr>
          <w:b/>
          <w:bCs/>
        </w:rPr>
        <w:t xml:space="preserve">Threshold</w:t>
      </w:r>
      <w:r>
        <w:t xml:space="preserve">: After the onset of spawning, if JPF &lt; 0 cfs AND turbidity is</w:t>
      </w:r>
      <w:r>
        <w:t xml:space="preserve"> </w:t>
      </w:r>
      <m:oMath>
        <m:r>
          <m:rPr>
            <m:sty m:val="p"/>
          </m:rPr>
          <m:t>≥</m:t>
        </m:r>
      </m:oMath>
      <w:r>
        <w:t xml:space="preserve"> </w:t>
      </w:r>
      <w:r>
        <w:t xml:space="preserve">12 FNU in the south Delta AND PTM modeling indicates the action would avoid</w:t>
      </w:r>
      <w:r>
        <w:t xml:space="preserve"> </w:t>
      </w:r>
      <m:oMath>
        <m:r>
          <m:rPr>
            <m:sty m:val="p"/>
          </m:rPr>
          <m:t>≥</m:t>
        </m:r>
      </m:oMath>
      <w:r>
        <w:t xml:space="preserve"> </w:t>
      </w:r>
      <w:r>
        <w:t xml:space="preserve">5% entrainment of Delta smelt population after 30 days</w:t>
      </w:r>
    </w:p>
    <w:p>
      <w:pPr>
        <w:pStyle w:val="Compact"/>
        <w:numPr>
          <w:ilvl w:val="0"/>
          <w:numId w:val="1009"/>
        </w:numPr>
      </w:pPr>
      <w:r>
        <w:rPr>
          <w:b/>
          <w:bCs/>
        </w:rPr>
        <w:t xml:space="preserve">12-station South Delta Turbidity</w:t>
      </w:r>
      <w:r>
        <w:t xml:space="preserve">: The most recent average turbidity was 12.5 FNU as of Jan 13, 2025</w:t>
      </w:r>
    </w:p>
    <w:bookmarkEnd w:id="42"/>
    <w:bookmarkEnd w:id="43"/>
    <w:bookmarkStart w:id="45" w:name="evaluation"/>
    <w:p>
      <w:pPr>
        <w:pStyle w:val="Heading4"/>
      </w:pPr>
      <w:r>
        <w:t xml:space="preserve">Evaluation</w:t>
      </w:r>
    </w:p>
    <w:p>
      <w:pPr>
        <w:pStyle w:val="FirstParagraph"/>
      </w:pPr>
      <w:r>
        <w:rPr>
          <w:b/>
          <w:bCs/>
        </w:rPr>
        <w:t xml:space="preserve">Delta smelt:</w:t>
      </w:r>
    </w:p>
    <w:p>
      <w:pPr>
        <w:numPr>
          <w:ilvl w:val="0"/>
          <w:numId w:val="1010"/>
        </w:numPr>
      </w:pPr>
      <w:r>
        <w:t xml:space="preserve">After the start of entrainment management, is JPF &lt; 0 and is daily average turbidity</w:t>
      </w:r>
      <w:r>
        <w:t xml:space="preserve"> </w:t>
      </w:r>
      <m:oMath>
        <m:r>
          <m:rPr>
            <m:sty m:val="p"/>
          </m:rPr>
          <m:t>≥</m:t>
        </m:r>
      </m:oMath>
      <w:r>
        <w:t xml:space="preserve"> </w:t>
      </w:r>
      <w:r>
        <w:t xml:space="preserve">12 FNU in the OMR corridor (stations OBI, HOL, and OSJ)?</w:t>
      </w:r>
    </w:p>
    <w:p>
      <w:pPr>
        <w:numPr>
          <w:ilvl w:val="0"/>
          <w:numId w:val="1000"/>
        </w:numPr>
      </w:pPr>
      <w:r>
        <w:t xml:space="preserve">No, these conditions will not be met this week.</w:t>
      </w:r>
    </w:p>
    <w:p>
      <w:pPr>
        <w:numPr>
          <w:ilvl w:val="0"/>
          <w:numId w:val="1010"/>
        </w:numPr>
      </w:pPr>
      <w:r>
        <w:t xml:space="preserve">Has the average water temperature at Jersey Point or Rio Vista not exceeded 53.6</w:t>
      </w:r>
      <m:oMath>
        <m:sSup>
          <m:e>
            <m:r>
              <m:t>​</m:t>
            </m:r>
          </m:e>
          <m:sup>
            <m:r>
              <m:rPr>
                <m:sty m:val="p"/>
              </m:rPr>
              <m:t>∘</m:t>
            </m:r>
          </m:sup>
        </m:sSup>
      </m:oMath>
      <w:r>
        <w:t xml:space="preserve">F (12</w:t>
      </w:r>
      <m:oMath>
        <m:sSup>
          <m:e>
            <m:r>
              <m:t>​</m:t>
            </m:r>
          </m:e>
          <m:sup>
            <m:r>
              <m:rPr>
                <m:sty m:val="p"/>
              </m:rPr>
              <m:t>∘</m:t>
            </m:r>
          </m:sup>
        </m:sSup>
      </m:oMath>
      <w:r>
        <w:t xml:space="preserve">C) for 3 consecutive days and/or has this action already been taken during WY 2026?</w:t>
      </w:r>
    </w:p>
    <w:p>
      <w:pPr>
        <w:numPr>
          <w:ilvl w:val="0"/>
          <w:numId w:val="1000"/>
        </w:numPr>
      </w:pPr>
      <w:r>
        <w:t xml:space="preserve">Temperature at Rio Vista or Jersey Point has not exceeded the threshold. The Delta smelt adult</w:t>
      </w:r>
      <w:r>
        <w:t xml:space="preserve"> </w:t>
      </w:r>
      <w:r>
        <w:t xml:space="preserve">entrainment management action has not yet been taken in WY 2026.</w:t>
      </w:r>
    </w:p>
    <w:p>
      <w:pPr>
        <w:numPr>
          <w:ilvl w:val="0"/>
          <w:numId w:val="1010"/>
        </w:numPr>
      </w:pPr>
      <w:r>
        <w:t xml:space="preserve">What is the evidence for the onset of Delta smelt spawning?</w:t>
      </w:r>
    </w:p>
    <w:p>
      <w:pPr>
        <w:numPr>
          <w:ilvl w:val="0"/>
          <w:numId w:val="1000"/>
        </w:numPr>
      </w:pPr>
      <w:r>
        <w:t xml:space="preserve">Upstream migration for Delta smelt occurs between September and December and in response</w:t>
      </w:r>
      <w:r>
        <w:t xml:space="preserve"> </w:t>
      </w:r>
      <w:r>
        <w:t xml:space="preserve">to</w:t>
      </w:r>
      <w:r>
        <w:t xml:space="preserve"> </w:t>
      </w:r>
      <w:r>
        <w:t xml:space="preserve">“first flush”</w:t>
      </w:r>
      <w:r>
        <w:t xml:space="preserve"> </w:t>
      </w:r>
      <w:r>
        <w:t xml:space="preserve">conditions (Sommer et al. 2011, Grimaldo et al. 2009). Migration typically ranges one</w:t>
      </w:r>
      <w:r>
        <w:t xml:space="preserve"> </w:t>
      </w:r>
      <w:r>
        <w:t xml:space="preserve">to four weeks after flow and turbidity increases, based on salvage data (Sommer et al. 2011).</w:t>
      </w:r>
      <w:r>
        <w:t xml:space="preserve"> </w:t>
      </w:r>
      <w:r>
        <w:t xml:space="preserve">Historically, detections of ripe Delta smelt began in January and peaked in February and March and</w:t>
      </w:r>
      <w:r>
        <w:t xml:space="preserve"> </w:t>
      </w:r>
      <w:r>
        <w:t xml:space="preserve">the majority of Delta Smelt spawning occurs within a temperature range of 9-18˚C (Damon et al. 2016).</w:t>
      </w:r>
      <w:r>
        <w:t xml:space="preserve"> </w:t>
      </w:r>
      <w:r>
        <w:t xml:space="preserve">Based on</w:t>
      </w:r>
      <w:r>
        <w:t xml:space="preserve"> </w:t>
      </w:r>
      <w:hyperlink r:id="rId44">
        <w:r>
          <w:rPr>
            <w:rStyle w:val="Hyperlink"/>
          </w:rPr>
          <w:t xml:space="preserve">historical monitoring data</w:t>
        </w:r>
      </w:hyperlink>
      <w:r>
        <w:t xml:space="preserve"> </w:t>
      </w:r>
      <w:r>
        <w:t xml:space="preserve">from the past few years,</w:t>
      </w:r>
      <w:r>
        <w:t xml:space="preserve"> </w:t>
      </w:r>
      <w:r>
        <w:t xml:space="preserve">first detection of larvae in the Central and South Delta has typically occurred by mid to late March.</w:t>
      </w:r>
      <w:r>
        <w:t xml:space="preserve"> </w:t>
      </w:r>
      <w:r>
        <w:t xml:space="preserve">Because first flush conditions were met on December 23, 2025, spawning may begin occurring during the</w:t>
      </w:r>
      <w:r>
        <w:t xml:space="preserve"> </w:t>
      </w:r>
      <w:r>
        <w:t xml:space="preserve">current assessment week, consistent with the typical one- to four-week response window following increased</w:t>
      </w:r>
      <w:r>
        <w:t xml:space="preserve"> </w:t>
      </w:r>
      <w:r>
        <w:t xml:space="preserve">flow and turbidity.Recent captures at Chipps Island and the Sacramento Deep Water Ship Channel are consistent</w:t>
      </w:r>
      <w:r>
        <w:t xml:space="preserve"> </w:t>
      </w:r>
      <w:r>
        <w:t xml:space="preserve">with an upstream spawning migration into tidal freshwater habitats.</w:t>
      </w:r>
    </w:p>
    <w:p>
      <w:pPr>
        <w:numPr>
          <w:ilvl w:val="0"/>
          <w:numId w:val="1010"/>
        </w:numPr>
      </w:pPr>
      <w:r>
        <w:t xml:space="preserve">After the onset of spawning, have the following conditions occurred:</w:t>
      </w:r>
      <w:r>
        <w:t xml:space="preserve"> </w:t>
      </w:r>
      <m:oMath>
        <m:r>
          <m:rPr>
            <m:sty m:val="p"/>
          </m:rPr>
          <m:t>≥</m:t>
        </m:r>
      </m:oMath>
      <w:r>
        <w:t xml:space="preserve"> </w:t>
      </w:r>
      <w:r>
        <w:t xml:space="preserve">5% entrainment of the Delta smelt population at facilities after 30 days?</w:t>
      </w:r>
    </w:p>
    <w:p>
      <w:pPr>
        <w:numPr>
          <w:ilvl w:val="0"/>
          <w:numId w:val="1000"/>
        </w:numPr>
      </w:pPr>
      <w:r>
        <w:t xml:space="preserve">Although spawning may begin during the current assessment period, JPF is above 0 cfs;</w:t>
      </w:r>
      <w:r>
        <w:t xml:space="preserve"> </w:t>
      </w:r>
      <w:r>
        <w:t xml:space="preserve">therefore, the conditions required to evaluate larval and juvenile Delta smelt entrainment management are not met.</w:t>
      </w:r>
    </w:p>
    <w:bookmarkEnd w:id="45"/>
    <w:bookmarkEnd w:id="46"/>
    <w:bookmarkStart w:id="63" w:name="longfin-smelt"/>
    <w:p>
      <w:pPr>
        <w:pStyle w:val="Heading3"/>
      </w:pPr>
      <w:r>
        <w:t xml:space="preserve">Longfin smelt</w:t>
      </w:r>
    </w:p>
    <w:bookmarkStart w:id="57" w:name="biological-1"/>
    <w:p>
      <w:pPr>
        <w:pStyle w:val="Heading4"/>
      </w:pPr>
      <w:r>
        <w:t xml:space="preserve">Biological</w:t>
      </w:r>
    </w:p>
    <w:p>
      <w:pPr>
        <w:numPr>
          <w:ilvl w:val="0"/>
          <w:numId w:val="1011"/>
        </w:numPr>
      </w:pPr>
      <w:r>
        <w:rPr>
          <w:b/>
          <w:bCs/>
        </w:rPr>
        <w:t xml:space="preserve">Longfin smelt life stages:</w:t>
      </w:r>
      <w:r>
        <w:t xml:space="preserve"> </w:t>
      </w:r>
      <w:r>
        <w:t xml:space="preserve">Juvenile, Adult, NA</w:t>
      </w:r>
    </w:p>
    <w:p>
      <w:pPr>
        <w:numPr>
          <w:ilvl w:val="0"/>
          <w:numId w:val="1011"/>
        </w:numPr>
      </w:pPr>
      <w:r>
        <w:rPr>
          <w:b/>
          <w:bCs/>
        </w:rPr>
        <w:t xml:space="preserve">Longfin smelt count:</w:t>
      </w:r>
      <w:r>
        <w:t xml:space="preserve"> </w:t>
      </w:r>
      <w:r>
        <w:t xml:space="preserve">301 adult, 478 juvenile, and 122 larval longfin smelt have been detected this water year. See</w:t>
      </w:r>
      <w:r>
        <w:t xml:space="preserve"> </w:t>
      </w:r>
      <w:hyperlink w:anchor="tbl-lfs-recent-catch">
        <w:r>
          <w:rPr>
            <w:rStyle w:val="Hyperlink"/>
          </w:rPr>
          <w:t xml:space="preserve">Table 3</w:t>
        </w:r>
      </w:hyperlink>
      <w:r>
        <w:t xml:space="preserve"> </w:t>
      </w:r>
      <w:r>
        <w:t xml:space="preserve">for recent detections,</w:t>
      </w:r>
      <w:r>
        <w:t xml:space="preserve"> </w:t>
      </w:r>
      <w:hyperlink w:anchor="fig-lfs-map">
        <w:r>
          <w:rPr>
            <w:rStyle w:val="Hyperlink"/>
          </w:rPr>
          <w:t xml:space="preserve">Figure 3</w:t>
        </w:r>
      </w:hyperlink>
      <w:r>
        <w:t xml:space="preserve"> </w:t>
      </w:r>
      <w:r>
        <w:t xml:space="preserve">for spatial distribution, and</w:t>
      </w:r>
      <w:r>
        <w:t xml:space="preserve"> </w:t>
      </w:r>
      <w:hyperlink w:anchor="fig-lfs-catch">
        <w:r>
          <w:rPr>
            <w:rStyle w:val="Hyperlink"/>
          </w:rPr>
          <w:t xml:space="preserve">Figure 4</w:t>
        </w:r>
      </w:hyperlink>
      <w:r>
        <w:t xml:space="preserve"> </w:t>
      </w:r>
      <w:r>
        <w:t xml:space="preserve">for temporal distribution.</w:t>
      </w:r>
    </w:p>
    <w:p>
      <w:pPr>
        <w:numPr>
          <w:ilvl w:val="0"/>
          <w:numId w:val="1011"/>
        </w:numPr>
      </w:pPr>
      <w:r>
        <w:rPr>
          <w:b/>
          <w:bCs/>
        </w:rPr>
        <w:t xml:space="preserve">Longfin smelt salvage:</w:t>
      </w:r>
      <w:r>
        <w:t xml:space="preserve"> </w:t>
      </w:r>
      <w:r>
        <w:t xml:space="preserve">0 longfin smelt have been salvaged, and the cumulative seasonal salvage is 0.</w:t>
      </w:r>
      <w:r>
        <w:t xml:space="preserve"> </w:t>
      </w:r>
    </w:p>
    <w:tbl>
      <w:tblPr>
        <w:tblStyle w:val="Table"/>
        <w:tblW w:type="pct" w:w="5000"/>
        <w:tblLayout w:type="fixed"/>
        <w:tblLook w:firstRow="0" w:lastRow="0" w:firstColumn="0" w:lastColumn="0" w:noHBand="0" w:noVBand="0" w:val="0000"/>
      </w:tblPr>
      <w:tblGrid>
        <w:gridCol w:w="7920"/>
      </w:tblGrid>
      <w:tr>
        <w:tc>
          <w:tcPr/>
          <w:bookmarkStart w:id="47" w:name="tbl-lfs-recent-catch"/>
          <w:p>
            <w:pPr>
              <w:jc w:val="center"/>
            </w:pPr>
            <w:pPr>
              <w:jc w:val="start"/>
              <w:spacing w:before="200"/>
              <w:pStyle w:val="ImageCaption"/>
            </w:pPr>
            <w:r>
              <w:t xml:space="preserve">Table 3: Longfin smelt detections in the last 2 weeks. Fork Length &gt; 84mm = Adult, Fork Length 20-84mm = Juvenile, Fork Length &lt; 20mm = Larva.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Survey</w:t>
                  </w:r>
                </w:p>
              </w:tc>
              <w:tc>
                <w:tcPr/>
                <w:p>
                  <w:pPr>
                    <w:pStyle w:val="Compact"/>
                    <w:jc w:val="left"/>
                    <w:jc w:val="center"/>
                  </w:pPr>
                  <w:r>
                    <w:t xml:space="preserve">Date</w:t>
                  </w:r>
                </w:p>
              </w:tc>
              <w:tc>
                <w:tcPr/>
                <w:p>
                  <w:pPr>
                    <w:pStyle w:val="Compact"/>
                    <w:jc w:val="left"/>
                    <w:jc w:val="center"/>
                  </w:pPr>
                  <w:r>
                    <w:t xml:space="preserve">Region</w:t>
                  </w:r>
                </w:p>
              </w:tc>
              <w:tc>
                <w:tcPr/>
                <w:p>
                  <w:pPr>
                    <w:pStyle w:val="Compact"/>
                    <w:jc w:val="left"/>
                    <w:jc w:val="center"/>
                  </w:pPr>
                  <w:r>
                    <w:t xml:space="preserve">Stratum</w:t>
                  </w:r>
                </w:p>
              </w:tc>
              <w:tc>
                <w:tcPr/>
                <w:p>
                  <w:pPr>
                    <w:pStyle w:val="Compact"/>
                    <w:jc w:val="left"/>
                    <w:jc w:val="center"/>
                  </w:pPr>
                  <w:r>
                    <w:t xml:space="preserve">Life Stage</w:t>
                  </w:r>
                </w:p>
              </w:tc>
              <w:tc>
                <w:tcPr/>
                <w:p>
                  <w:pPr>
                    <w:pStyle w:val="Compact"/>
                    <w:jc w:val="right"/>
                    <w:jc w:val="center"/>
                  </w:pPr>
                  <w:r>
                    <w:t xml:space="preserve">Catch</w:t>
                  </w:r>
                </w:p>
              </w:tc>
            </w:tr>
            <w:tr>
              <w:tc>
                <w:tcPr/>
                <w:p>
                  <w:pPr>
                    <w:pStyle w:val="Compact"/>
                    <w:jc w:val="left"/>
                    <w:jc w:val="center"/>
                  </w:pPr>
                  <w:r>
                    <w:t xml:space="preserve">EDSM</w:t>
                  </w:r>
                </w:p>
              </w:tc>
              <w:tc>
                <w:tcPr/>
                <w:p>
                  <w:pPr>
                    <w:pStyle w:val="Compact"/>
                    <w:jc w:val="left"/>
                    <w:jc w:val="center"/>
                  </w:pPr>
                  <w:r>
                    <w:t xml:space="preserve">2026-01-13</w:t>
                  </w:r>
                </w:p>
              </w:tc>
              <w:tc>
                <w:tcPr/>
                <w:p>
                  <w:pPr>
                    <w:pStyle w:val="Compact"/>
                    <w:jc w:val="left"/>
                    <w:jc w:val="center"/>
                  </w:pPr>
                  <w:r>
                    <w:t xml:space="preserve">Far West</w:t>
                  </w:r>
                </w:p>
              </w:tc>
              <w:tc>
                <w:tcPr/>
                <w:p>
                  <w:pPr>
                    <w:pStyle w:val="Compact"/>
                    <w:jc w:val="left"/>
                    <w:jc w:val="center"/>
                  </w:pPr>
                  <w:r>
                    <w:t xml:space="preserve">Western Delta</w:t>
                  </w:r>
                </w:p>
              </w:tc>
              <w:tc>
                <w:tcPr/>
                <w:p>
                  <w:pPr>
                    <w:pStyle w:val="Compact"/>
                    <w:jc w:val="left"/>
                    <w:jc w:val="center"/>
                  </w:pPr>
                  <w:r>
                    <w:t xml:space="preserve">Juvenile</w:t>
                  </w:r>
                </w:p>
              </w:tc>
              <w:tc>
                <w:tcPr/>
                <w:p>
                  <w:pPr>
                    <w:pStyle w:val="Compact"/>
                    <w:jc w:val="right"/>
                    <w:jc w:val="center"/>
                  </w:pPr>
                  <w:r>
                    <w:t xml:space="preserve">2</w:t>
                  </w:r>
                </w:p>
              </w:tc>
            </w:tr>
            <w:tr>
              <w:tc>
                <w:tcPr/>
                <w:p>
                  <w:pPr>
                    <w:pStyle w:val="Compact"/>
                    <w:jc w:val="left"/>
                    <w:jc w:val="center"/>
                  </w:pPr>
                  <w:r>
                    <w:t xml:space="preserve">EDSM</w:t>
                  </w:r>
                </w:p>
              </w:tc>
              <w:tc>
                <w:tcPr/>
                <w:p>
                  <w:pPr>
                    <w:pStyle w:val="Compact"/>
                    <w:jc w:val="left"/>
                    <w:jc w:val="center"/>
                  </w:pPr>
                  <w:r>
                    <w:t xml:space="preserve">2026-01-20</w:t>
                  </w:r>
                </w:p>
              </w:tc>
              <w:tc>
                <w:tcPr/>
                <w:p>
                  <w:pPr>
                    <w:pStyle w:val="Compact"/>
                    <w:jc w:val="left"/>
                    <w:jc w:val="center"/>
                  </w:pPr>
                  <w:r>
                    <w:t xml:space="preserve">Far West</w:t>
                  </w:r>
                </w:p>
              </w:tc>
              <w:tc>
                <w:tcPr/>
                <w:p>
                  <w:pPr>
                    <w:pStyle w:val="Compact"/>
                    <w:jc w:val="left"/>
                    <w:jc w:val="center"/>
                  </w:pPr>
                  <w:r>
                    <w:t xml:space="preserve">Suisun Bay</w:t>
                  </w:r>
                </w:p>
              </w:tc>
              <w:tc>
                <w:tcPr/>
                <w:p>
                  <w:pPr>
                    <w:pStyle w:val="Compact"/>
                    <w:jc w:val="left"/>
                    <w:jc w:val="center"/>
                  </w:pPr>
                  <w:r>
                    <w:t xml:space="preserve">Adult</w:t>
                  </w:r>
                </w:p>
              </w:tc>
              <w:tc>
                <w:tcPr/>
                <w:p>
                  <w:pPr>
                    <w:pStyle w:val="Compact"/>
                    <w:jc w:val="right"/>
                    <w:jc w:val="center"/>
                  </w:pPr>
                  <w:r>
                    <w:t xml:space="preserve">4</w:t>
                  </w:r>
                </w:p>
              </w:tc>
            </w:tr>
            <w:tr>
              <w:tc>
                <w:tcPr/>
                <w:p>
                  <w:pPr>
                    <w:pStyle w:val="Compact"/>
                    <w:jc w:val="left"/>
                    <w:jc w:val="center"/>
                  </w:pPr>
                  <w:r>
                    <w:t xml:space="preserve">EDSM</w:t>
                  </w:r>
                </w:p>
              </w:tc>
              <w:tc>
                <w:tcPr/>
                <w:p>
                  <w:pPr>
                    <w:pStyle w:val="Compact"/>
                    <w:jc w:val="left"/>
                    <w:jc w:val="center"/>
                  </w:pPr>
                  <w:r>
                    <w:t xml:space="preserve">2026-01-20</w:t>
                  </w:r>
                </w:p>
              </w:tc>
              <w:tc>
                <w:tcPr/>
                <w:p>
                  <w:pPr>
                    <w:pStyle w:val="Compact"/>
                    <w:jc w:val="left"/>
                    <w:jc w:val="center"/>
                  </w:pPr>
                  <w:r>
                    <w:t xml:space="preserve">Far West</w:t>
                  </w:r>
                </w:p>
              </w:tc>
              <w:tc>
                <w:tcPr/>
                <w:p>
                  <w:pPr>
                    <w:pStyle w:val="Compact"/>
                    <w:jc w:val="left"/>
                    <w:jc w:val="center"/>
                  </w:pPr>
                  <w:r>
                    <w:t xml:space="preserve">Suisun Bay</w:t>
                  </w:r>
                </w:p>
              </w:tc>
              <w:tc>
                <w:tcPr/>
                <w:p>
                  <w:pPr>
                    <w:pStyle w:val="Compact"/>
                    <w:jc w:val="left"/>
                    <w:jc w:val="center"/>
                  </w:pPr>
                  <w:r>
                    <w:t xml:space="preserve">Juvenile</w:t>
                  </w:r>
                </w:p>
              </w:tc>
              <w:tc>
                <w:tcPr/>
                <w:p>
                  <w:pPr>
                    <w:pStyle w:val="Compact"/>
                    <w:jc w:val="right"/>
                    <w:jc w:val="center"/>
                  </w:pPr>
                  <w:r>
                    <w:t xml:space="preserve">29</w:t>
                  </w:r>
                </w:p>
              </w:tc>
            </w:tr>
            <w:tr>
              <w:tc>
                <w:tcPr/>
                <w:p>
                  <w:pPr>
                    <w:pStyle w:val="Compact"/>
                    <w:jc w:val="left"/>
                    <w:jc w:val="center"/>
                  </w:pPr>
                  <w:r>
                    <w:t xml:space="preserve">EDSM</w:t>
                  </w:r>
                </w:p>
              </w:tc>
              <w:tc>
                <w:tcPr/>
                <w:p>
                  <w:pPr>
                    <w:pStyle w:val="Compact"/>
                    <w:jc w:val="left"/>
                    <w:jc w:val="center"/>
                  </w:pPr>
                  <w:r>
                    <w:t xml:space="preserve">2026-01-20</w:t>
                  </w:r>
                </w:p>
              </w:tc>
              <w:tc>
                <w:tcPr/>
                <w:p>
                  <w:pPr>
                    <w:pStyle w:val="Compact"/>
                    <w:jc w:val="left"/>
                    <w:jc w:val="center"/>
                  </w:pPr>
                  <w:r>
                    <w:t xml:space="preserve">Far West</w:t>
                  </w:r>
                </w:p>
              </w:tc>
              <w:tc>
                <w:tcPr/>
                <w:p>
                  <w:pPr>
                    <w:pStyle w:val="Compact"/>
                    <w:jc w:val="left"/>
                    <w:jc w:val="center"/>
                  </w:pPr>
                  <w:r>
                    <w:t xml:space="preserve">Suisun Bay</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EDSM</w:t>
                  </w:r>
                </w:p>
              </w:tc>
              <w:tc>
                <w:tcPr/>
                <w:p>
                  <w:pPr>
                    <w:pStyle w:val="Compact"/>
                    <w:jc w:val="left"/>
                    <w:jc w:val="center"/>
                  </w:pPr>
                  <w:r>
                    <w:t xml:space="preserve">2026-01-20</w:t>
                  </w:r>
                </w:p>
              </w:tc>
              <w:tc>
                <w:tcPr/>
                <w:p>
                  <w:pPr>
                    <w:pStyle w:val="Compact"/>
                    <w:jc w:val="left"/>
                    <w:jc w:val="center"/>
                  </w:pPr>
                  <w:r>
                    <w:t xml:space="preserve">West</w:t>
                  </w:r>
                </w:p>
              </w:tc>
              <w:tc>
                <w:tcPr/>
                <w:p>
                  <w:pPr>
                    <w:pStyle w:val="Compact"/>
                    <w:jc w:val="left"/>
                    <w:jc w:val="center"/>
                  </w:pPr>
                  <w:r>
                    <w:t xml:space="preserve">Lower Sacramento</w:t>
                  </w:r>
                </w:p>
              </w:tc>
              <w:tc>
                <w:tcPr/>
                <w:p>
                  <w:pPr>
                    <w:pStyle w:val="Compact"/>
                    <w:jc w:val="left"/>
                    <w:jc w:val="center"/>
                  </w:pPr>
                  <w:r>
                    <w:t xml:space="preserve">Adult</w:t>
                  </w:r>
                </w:p>
              </w:tc>
              <w:tc>
                <w:tcPr/>
                <w:p>
                  <w:pPr>
                    <w:pStyle w:val="Compact"/>
                    <w:jc w:val="right"/>
                    <w:jc w:val="center"/>
                  </w:pPr>
                  <w:r>
                    <w:t xml:space="preserve">1</w:t>
                  </w:r>
                </w:p>
              </w:tc>
            </w:tr>
            <w:tr>
              <w:tc>
                <w:tcPr/>
                <w:p>
                  <w:pPr>
                    <w:pStyle w:val="Compact"/>
                    <w:jc w:val="left"/>
                    <w:jc w:val="center"/>
                  </w:pPr>
                  <w:r>
                    <w:t xml:space="preserve">EDSM</w:t>
                  </w:r>
                </w:p>
              </w:tc>
              <w:tc>
                <w:tcPr/>
                <w:p>
                  <w:pPr>
                    <w:pStyle w:val="Compact"/>
                    <w:jc w:val="left"/>
                    <w:jc w:val="center"/>
                  </w:pPr>
                  <w:r>
                    <w:t xml:space="preserve">2026-01-22</w:t>
                  </w:r>
                </w:p>
              </w:tc>
              <w:tc>
                <w:tcPr/>
                <w:p>
                  <w:pPr>
                    <w:pStyle w:val="Compact"/>
                    <w:jc w:val="left"/>
                    <w:jc w:val="center"/>
                  </w:pPr>
                  <w:r>
                    <w:t xml:space="preserve">Far West</w:t>
                  </w:r>
                </w:p>
              </w:tc>
              <w:tc>
                <w:tcPr/>
                <w:p>
                  <w:pPr>
                    <w:pStyle w:val="Compact"/>
                    <w:jc w:val="left"/>
                    <w:jc w:val="center"/>
                  </w:pPr>
                  <w:r>
                    <w:t xml:space="preserve">Western Delta</w:t>
                  </w:r>
                </w:p>
              </w:tc>
              <w:tc>
                <w:tcPr/>
                <w:p>
                  <w:pPr>
                    <w:pStyle w:val="Compact"/>
                    <w:jc w:val="left"/>
                    <w:jc w:val="center"/>
                  </w:pPr>
                  <w:r>
                    <w:t xml:space="preserve">Juvenile</w:t>
                  </w:r>
                </w:p>
              </w:tc>
              <w:tc>
                <w:tcPr/>
                <w:p>
                  <w:pPr>
                    <w:pStyle w:val="Compact"/>
                    <w:jc w:val="right"/>
                    <w:jc w:val="center"/>
                  </w:pPr>
                  <w:r>
                    <w:t xml:space="preserve">1</w:t>
                  </w:r>
                </w:p>
              </w:tc>
            </w:tr>
          </w:tbl>
          <w:bookmarkEnd w:id="47"/>
          <w:p/>
        </w:tc>
      </w:tr>
    </w:tbl>
    <w:tbl>
      <w:tblPr>
        <w:tblStyle w:val="Table"/>
        <w:tblW w:type="pct" w:w="5000"/>
        <w:tblLayout w:type="fixed"/>
        <w:tblLook w:firstRow="0" w:lastRow="0" w:firstColumn="0" w:lastColumn="0" w:noHBand="0" w:noVBand="0" w:val="0000"/>
      </w:tblPr>
      <w:tblGrid>
        <w:gridCol w:w="7920"/>
      </w:tblGrid>
      <w:tr>
        <w:tc>
          <w:tcPr/>
          <w:bookmarkStart w:id="51" w:name="fig-lfs-map"/>
          <w:p>
            <w:pPr>
              <w:pStyle w:val="Compact"/>
              <w:jc w:val="center"/>
            </w:pPr>
            <w:r>
              <w:drawing>
                <wp:inline>
                  <wp:extent cx="5334000" cy="4667249"/>
                  <wp:effectExtent b="0" l="0" r="0" t="0"/>
                  <wp:docPr descr="" title="" id="49" name="Picture"/>
                  <a:graphic>
                    <a:graphicData uri="http://schemas.openxmlformats.org/drawingml/2006/picture">
                      <pic:pic>
                        <pic:nvPicPr>
                          <pic:cNvPr descr="smt-assessment-v1_files/figure-docx/fig-lfs-map-1.png" id="50" name="Picture"/>
                          <pic:cNvPicPr>
                            <a:picLocks noChangeArrowheads="1" noChangeAspect="1"/>
                          </pic:cNvPicPr>
                        </pic:nvPicPr>
                        <pic:blipFill>
                          <a:blip r:embed="rId48"/>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Longfin Smelt Distribution for WY 2026</w:t>
            </w:r>
          </w:p>
          <w:bookmarkEnd w:id="51"/>
        </w:tc>
      </w:tr>
    </w:tbl>
    <w:tbl>
      <w:tblPr>
        <w:tblStyle w:val="Table"/>
        <w:tblW w:type="pct" w:w="5000"/>
        <w:tblLayout w:type="fixed"/>
        <w:tblLook w:firstRow="0" w:lastRow="0" w:firstColumn="0" w:lastColumn="0" w:noHBand="0" w:noVBand="0" w:val="0000"/>
      </w:tblPr>
      <w:tblGrid>
        <w:gridCol w:w="7920"/>
      </w:tblGrid>
      <w:tr>
        <w:tc>
          <w:tcPr/>
          <w:bookmarkStart w:id="52" w:name="tbl-lfs-catch-all"/>
          <w:p>
            <w:pPr>
              <w:jc w:val="center"/>
            </w:pPr>
            <w:pPr>
              <w:jc w:val="start"/>
              <w:spacing w:before="200"/>
              <w:pStyle w:val="ImageCaption"/>
            </w:pPr>
            <w:r>
              <w:t xml:space="preserve">Table 4: Longfin smelt water year totals by life stage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Survey</w:t>
                  </w:r>
                </w:p>
              </w:tc>
              <w:tc>
                <w:tcPr/>
                <w:p>
                  <w:pPr>
                    <w:pStyle w:val="Compact"/>
                    <w:jc w:val="left"/>
                    <w:jc w:val="center"/>
                  </w:pPr>
                  <w:r>
                    <w:t xml:space="preserve">Region</w:t>
                  </w:r>
                </w:p>
              </w:tc>
              <w:tc>
                <w:tcPr/>
                <w:p>
                  <w:pPr>
                    <w:pStyle w:val="Compact"/>
                    <w:jc w:val="left"/>
                    <w:jc w:val="center"/>
                  </w:pPr>
                  <w:r>
                    <w:t xml:space="preserve">Life Stage</w:t>
                  </w:r>
                </w:p>
              </w:tc>
              <w:tc>
                <w:tcPr/>
                <w:p>
                  <w:pPr>
                    <w:pStyle w:val="Compact"/>
                    <w:jc w:val="right"/>
                    <w:jc w:val="center"/>
                  </w:pPr>
                  <w:r>
                    <w:t xml:space="preserve">Total</w:t>
                  </w:r>
                </w:p>
              </w:tc>
            </w:tr>
            <w:tr>
              <w:tc>
                <w:tcPr/>
                <w:p>
                  <w:pPr>
                    <w:pStyle w:val="Compact"/>
                    <w:jc w:val="left"/>
                    <w:jc w:val="center"/>
                  </w:pPr>
                  <w:r>
                    <w:t xml:space="preserve">DJFMP</w:t>
                  </w:r>
                </w:p>
              </w:tc>
              <w:tc>
                <w:tcPr/>
                <w:p>
                  <w:pPr>
                    <w:pStyle w:val="Compact"/>
                    <w:jc w:val="left"/>
                    <w:jc w:val="center"/>
                  </w:pPr>
                  <w:r>
                    <w:t xml:space="preserve">Bay</w:t>
                  </w:r>
                </w:p>
              </w:tc>
              <w:tc>
                <w:tcPr/>
                <w:p>
                  <w:pPr>
                    <w:pStyle w:val="Compact"/>
                    <w:jc w:val="left"/>
                    <w:jc w:val="center"/>
                  </w:pPr>
                  <w:r>
                    <w:t xml:space="preserve">Juvenile</w:t>
                  </w:r>
                </w:p>
              </w:tc>
              <w:tc>
                <w:tcPr/>
                <w:p>
                  <w:pPr>
                    <w:pStyle w:val="Compact"/>
                    <w:jc w:val="right"/>
                    <w:jc w:val="center"/>
                  </w:pPr>
                  <w:r>
                    <w:t xml:space="preserve">1</w:t>
                  </w:r>
                </w:p>
              </w:tc>
            </w:tr>
            <w:tr>
              <w:tc>
                <w:tcPr/>
                <w:p>
                  <w:pPr>
                    <w:pStyle w:val="Compact"/>
                    <w:jc w:val="left"/>
                    <w:jc w:val="center"/>
                  </w:pPr>
                  <w:r>
                    <w:t xml:space="preserve">DJFMP</w:t>
                  </w:r>
                </w:p>
              </w:tc>
              <w:tc>
                <w:tcPr/>
                <w:p>
                  <w:pPr>
                    <w:pStyle w:val="Compact"/>
                    <w:jc w:val="left"/>
                    <w:jc w:val="center"/>
                  </w:pPr>
                  <w:r>
                    <w:t xml:space="preserve">N/A</w:t>
                  </w:r>
                </w:p>
              </w:tc>
              <w:tc>
                <w:tcPr/>
                <w:p>
                  <w:pPr>
                    <w:pStyle w:val="Compact"/>
                    <w:jc w:val="left"/>
                    <w:jc w:val="center"/>
                  </w:pPr>
                  <w:r>
                    <w:t xml:space="preserve">Adult</w:t>
                  </w:r>
                </w:p>
              </w:tc>
              <w:tc>
                <w:tcPr/>
                <w:p>
                  <w:pPr>
                    <w:pStyle w:val="Compact"/>
                    <w:jc w:val="right"/>
                    <w:jc w:val="center"/>
                  </w:pPr>
                  <w:r>
                    <w:t xml:space="preserve">240</w:t>
                  </w:r>
                </w:p>
              </w:tc>
            </w:tr>
            <w:tr>
              <w:tc>
                <w:tcPr/>
                <w:p>
                  <w:pPr>
                    <w:pStyle w:val="Compact"/>
                    <w:jc w:val="left"/>
                    <w:jc w:val="center"/>
                  </w:pPr>
                  <w:r>
                    <w:t xml:space="preserve">DJFMP</w:t>
                  </w:r>
                </w:p>
              </w:tc>
              <w:tc>
                <w:tcPr/>
                <w:p>
                  <w:pPr>
                    <w:pStyle w:val="Compact"/>
                    <w:jc w:val="left"/>
                    <w:jc w:val="center"/>
                  </w:pPr>
                  <w:r>
                    <w:t xml:space="preserve">N/A</w:t>
                  </w:r>
                </w:p>
              </w:tc>
              <w:tc>
                <w:tcPr/>
                <w:p>
                  <w:pPr>
                    <w:pStyle w:val="Compact"/>
                    <w:jc w:val="left"/>
                    <w:jc w:val="center"/>
                  </w:pPr>
                  <w:r>
                    <w:t xml:space="preserve">Juvenile</w:t>
                  </w:r>
                </w:p>
              </w:tc>
              <w:tc>
                <w:tcPr/>
                <w:p>
                  <w:pPr>
                    <w:pStyle w:val="Compact"/>
                    <w:jc w:val="right"/>
                    <w:jc w:val="center"/>
                  </w:pPr>
                  <w:r>
                    <w:t xml:space="preserve">14</w:t>
                  </w:r>
                </w:p>
              </w:tc>
            </w:tr>
            <w:tr>
              <w:tc>
                <w:tcPr/>
                <w:p>
                  <w:pPr>
                    <w:pStyle w:val="Compact"/>
                    <w:jc w:val="left"/>
                    <w:jc w:val="center"/>
                  </w:pPr>
                  <w:r>
                    <w:t xml:space="preserve">EDSM</w:t>
                  </w:r>
                </w:p>
              </w:tc>
              <w:tc>
                <w:tcPr/>
                <w:p>
                  <w:pPr>
                    <w:pStyle w:val="Compact"/>
                    <w:jc w:val="left"/>
                    <w:jc w:val="center"/>
                  </w:pPr>
                  <w:r>
                    <w:t xml:space="preserve">Far West</w:t>
                  </w:r>
                </w:p>
              </w:tc>
              <w:tc>
                <w:tcPr/>
                <w:p>
                  <w:pPr>
                    <w:pStyle w:val="Compact"/>
                    <w:jc w:val="left"/>
                    <w:jc w:val="center"/>
                  </w:pPr>
                  <w:r>
                    <w:t xml:space="preserve">Adult</w:t>
                  </w:r>
                </w:p>
              </w:tc>
              <w:tc>
                <w:tcPr/>
                <w:p>
                  <w:pPr>
                    <w:pStyle w:val="Compact"/>
                    <w:jc w:val="right"/>
                    <w:jc w:val="center"/>
                  </w:pPr>
                  <w:r>
                    <w:t xml:space="preserve">11</w:t>
                  </w:r>
                </w:p>
              </w:tc>
            </w:tr>
            <w:tr>
              <w:tc>
                <w:tcPr/>
                <w:p>
                  <w:pPr>
                    <w:pStyle w:val="Compact"/>
                    <w:jc w:val="left"/>
                    <w:jc w:val="center"/>
                  </w:pPr>
                  <w:r>
                    <w:t xml:space="preserve">EDSM</w:t>
                  </w:r>
                </w:p>
              </w:tc>
              <w:tc>
                <w:tcPr/>
                <w:p>
                  <w:pPr>
                    <w:pStyle w:val="Compact"/>
                    <w:jc w:val="left"/>
                    <w:jc w:val="center"/>
                  </w:pPr>
                  <w:r>
                    <w:t xml:space="preserve">Far West</w:t>
                  </w:r>
                </w:p>
              </w:tc>
              <w:tc>
                <w:tcPr/>
                <w:p>
                  <w:pPr>
                    <w:pStyle w:val="Compact"/>
                    <w:jc w:val="left"/>
                    <w:jc w:val="center"/>
                  </w:pPr>
                  <w:r>
                    <w:t xml:space="preserve">Juvenile</w:t>
                  </w:r>
                </w:p>
              </w:tc>
              <w:tc>
                <w:tcPr/>
                <w:p>
                  <w:pPr>
                    <w:pStyle w:val="Compact"/>
                    <w:jc w:val="right"/>
                    <w:jc w:val="center"/>
                  </w:pPr>
                  <w:r>
                    <w:t xml:space="preserve">45</w:t>
                  </w:r>
                </w:p>
              </w:tc>
            </w:tr>
            <w:tr>
              <w:tc>
                <w:tcPr/>
                <w:p>
                  <w:pPr>
                    <w:pStyle w:val="Compact"/>
                    <w:jc w:val="left"/>
                    <w:jc w:val="center"/>
                  </w:pPr>
                  <w:r>
                    <w:t xml:space="preserve">EDSM</w:t>
                  </w:r>
                </w:p>
              </w:tc>
              <w:tc>
                <w:tcPr/>
                <w:p>
                  <w:pPr>
                    <w:pStyle w:val="Compact"/>
                    <w:jc w:val="left"/>
                    <w:jc w:val="center"/>
                  </w:pPr>
                  <w:r>
                    <w:t xml:space="preserve">North</w:t>
                  </w:r>
                </w:p>
              </w:tc>
              <w:tc>
                <w:tcPr/>
                <w:p>
                  <w:pPr>
                    <w:pStyle w:val="Compact"/>
                    <w:jc w:val="left"/>
                    <w:jc w:val="center"/>
                  </w:pPr>
                  <w:r>
                    <w:t xml:space="preserve">Juvenile</w:t>
                  </w:r>
                </w:p>
              </w:tc>
              <w:tc>
                <w:tcPr/>
                <w:p>
                  <w:pPr>
                    <w:pStyle w:val="Compact"/>
                    <w:jc w:val="right"/>
                    <w:jc w:val="center"/>
                  </w:pPr>
                  <w:r>
                    <w:t xml:space="preserve">1</w:t>
                  </w:r>
                </w:p>
              </w:tc>
            </w:tr>
            <w:tr>
              <w:tc>
                <w:tcPr/>
                <w:p>
                  <w:pPr>
                    <w:pStyle w:val="Compact"/>
                    <w:jc w:val="left"/>
                    <w:jc w:val="center"/>
                  </w:pPr>
                  <w:r>
                    <w:t xml:space="preserve">EDSM</w:t>
                  </w:r>
                </w:p>
              </w:tc>
              <w:tc>
                <w:tcPr/>
                <w:p>
                  <w:pPr>
                    <w:pStyle w:val="Compact"/>
                    <w:jc w:val="left"/>
                    <w:jc w:val="center"/>
                  </w:pPr>
                  <w:r>
                    <w:t xml:space="preserve">West</w:t>
                  </w:r>
                </w:p>
              </w:tc>
              <w:tc>
                <w:tcPr/>
                <w:p>
                  <w:pPr>
                    <w:pStyle w:val="Compact"/>
                    <w:jc w:val="left"/>
                    <w:jc w:val="center"/>
                  </w:pPr>
                  <w:r>
                    <w:t xml:space="preserve">Adult</w:t>
                  </w:r>
                </w:p>
              </w:tc>
              <w:tc>
                <w:tcPr/>
                <w:p>
                  <w:pPr>
                    <w:pStyle w:val="Compact"/>
                    <w:jc w:val="right"/>
                    <w:jc w:val="center"/>
                  </w:pPr>
                  <w:r>
                    <w:t xml:space="preserve">42</w:t>
                  </w:r>
                </w:p>
              </w:tc>
            </w:tr>
            <w:tr>
              <w:tc>
                <w:tcPr/>
                <w:p>
                  <w:pPr>
                    <w:pStyle w:val="Compact"/>
                    <w:jc w:val="left"/>
                    <w:jc w:val="center"/>
                  </w:pPr>
                  <w:r>
                    <w:t xml:space="preserve">EDSM</w:t>
                  </w:r>
                </w:p>
              </w:tc>
              <w:tc>
                <w:tcPr/>
                <w:p>
                  <w:pPr>
                    <w:pStyle w:val="Compact"/>
                    <w:jc w:val="left"/>
                    <w:jc w:val="center"/>
                  </w:pPr>
                  <w:r>
                    <w:t xml:space="preserve">West</w:t>
                  </w:r>
                </w:p>
              </w:tc>
              <w:tc>
                <w:tcPr/>
                <w:p>
                  <w:pPr>
                    <w:pStyle w:val="Compact"/>
                    <w:jc w:val="left"/>
                    <w:jc w:val="center"/>
                  </w:pPr>
                  <w:r>
                    <w:t xml:space="preserve">Juvenile</w:t>
                  </w:r>
                </w:p>
              </w:tc>
              <w:tc>
                <w:tcPr/>
                <w:p>
                  <w:pPr>
                    <w:pStyle w:val="Compact"/>
                    <w:jc w:val="right"/>
                    <w:jc w:val="center"/>
                  </w:pPr>
                  <w:r>
                    <w:t xml:space="preserve">80</w:t>
                  </w:r>
                </w:p>
              </w:tc>
            </w:tr>
            <w:tr>
              <w:tc>
                <w:tcPr/>
                <w:p>
                  <w:pPr>
                    <w:pStyle w:val="Compact"/>
                    <w:jc w:val="left"/>
                    <w:jc w:val="center"/>
                  </w:pPr>
                  <w:r>
                    <w:t xml:space="preserve">baystudy</w:t>
                  </w:r>
                </w:p>
              </w:tc>
              <w:tc>
                <w:tcPr/>
                <w:p>
                  <w:pPr>
                    <w:pStyle w:val="Compact"/>
                    <w:jc w:val="left"/>
                    <w:jc w:val="center"/>
                  </w:pPr>
                  <w:r>
                    <w:t xml:space="preserve">Bay</w:t>
                  </w:r>
                </w:p>
              </w:tc>
              <w:tc>
                <w:tcPr/>
                <w:p>
                  <w:pPr>
                    <w:pStyle w:val="Compact"/>
                    <w:jc w:val="left"/>
                    <w:jc w:val="center"/>
                  </w:pPr>
                  <w:r>
                    <w:t xml:space="preserve">Adult</w:t>
                  </w:r>
                </w:p>
              </w:tc>
              <w:tc>
                <w:tcPr/>
                <w:p>
                  <w:pPr>
                    <w:pStyle w:val="Compact"/>
                    <w:jc w:val="right"/>
                    <w:jc w:val="center"/>
                  </w:pPr>
                  <w:r>
                    <w:t xml:space="preserve">6</w:t>
                  </w:r>
                </w:p>
              </w:tc>
            </w:tr>
            <w:tr>
              <w:tc>
                <w:tcPr/>
                <w:p>
                  <w:pPr>
                    <w:pStyle w:val="Compact"/>
                    <w:jc w:val="left"/>
                    <w:jc w:val="center"/>
                  </w:pPr>
                  <w:r>
                    <w:t xml:space="preserve">baystudy</w:t>
                  </w:r>
                </w:p>
              </w:tc>
              <w:tc>
                <w:tcPr/>
                <w:p>
                  <w:pPr>
                    <w:pStyle w:val="Compact"/>
                    <w:jc w:val="left"/>
                    <w:jc w:val="center"/>
                  </w:pPr>
                  <w:r>
                    <w:t xml:space="preserve">Bay</w:t>
                  </w:r>
                </w:p>
              </w:tc>
              <w:tc>
                <w:tcPr/>
                <w:p>
                  <w:pPr>
                    <w:pStyle w:val="Compact"/>
                    <w:jc w:val="left"/>
                    <w:jc w:val="center"/>
                  </w:pPr>
                  <w:r>
                    <w:t xml:space="preserve">Juvenile</w:t>
                  </w:r>
                </w:p>
              </w:tc>
              <w:tc>
                <w:tcPr/>
                <w:p>
                  <w:pPr>
                    <w:pStyle w:val="Compact"/>
                    <w:jc w:val="right"/>
                    <w:jc w:val="center"/>
                  </w:pPr>
                  <w:r>
                    <w:t xml:space="preserve">320</w:t>
                  </w:r>
                </w:p>
              </w:tc>
            </w:tr>
            <w:tr>
              <w:tc>
                <w:tcPr/>
                <w:p>
                  <w:pPr>
                    <w:pStyle w:val="Compact"/>
                    <w:jc w:val="left"/>
                    <w:jc w:val="center"/>
                  </w:pPr>
                  <w:r>
                    <w:t xml:space="preserve">baystudy</w:t>
                  </w:r>
                </w:p>
              </w:tc>
              <w:tc>
                <w:tcPr/>
                <w:p>
                  <w:pPr>
                    <w:pStyle w:val="Compact"/>
                    <w:jc w:val="left"/>
                    <w:jc w:val="center"/>
                  </w:pPr>
                  <w:r>
                    <w:t xml:space="preserve">Far West</w:t>
                  </w:r>
                </w:p>
              </w:tc>
              <w:tc>
                <w:tcPr/>
                <w:p>
                  <w:pPr>
                    <w:pStyle w:val="Compact"/>
                    <w:jc w:val="left"/>
                    <w:jc w:val="center"/>
                  </w:pPr>
                  <w:r>
                    <w:t xml:space="preserve">Adult</w:t>
                  </w:r>
                </w:p>
              </w:tc>
              <w:tc>
                <w:tcPr/>
                <w:p>
                  <w:pPr>
                    <w:pStyle w:val="Compact"/>
                    <w:jc w:val="right"/>
                    <w:jc w:val="center"/>
                  </w:pPr>
                  <w:r>
                    <w:t xml:space="preserve">2</w:t>
                  </w:r>
                </w:p>
              </w:tc>
            </w:tr>
            <w:tr>
              <w:tc>
                <w:tcPr/>
                <w:p>
                  <w:pPr>
                    <w:pStyle w:val="Compact"/>
                    <w:jc w:val="left"/>
                    <w:jc w:val="center"/>
                  </w:pPr>
                  <w:r>
                    <w:t xml:space="preserve">baystudy</w:t>
                  </w:r>
                </w:p>
              </w:tc>
              <w:tc>
                <w:tcPr/>
                <w:p>
                  <w:pPr>
                    <w:pStyle w:val="Compact"/>
                    <w:jc w:val="left"/>
                    <w:jc w:val="center"/>
                  </w:pPr>
                  <w:r>
                    <w:t xml:space="preserve">Far West</w:t>
                  </w:r>
                </w:p>
              </w:tc>
              <w:tc>
                <w:tcPr/>
                <w:p>
                  <w:pPr>
                    <w:pStyle w:val="Compact"/>
                    <w:jc w:val="left"/>
                    <w:jc w:val="center"/>
                  </w:pPr>
                  <w:r>
                    <w:t xml:space="preserve">Juvenile</w:t>
                  </w:r>
                </w:p>
              </w:tc>
              <w:tc>
                <w:tcPr/>
                <w:p>
                  <w:pPr>
                    <w:pStyle w:val="Compact"/>
                    <w:jc w:val="right"/>
                    <w:jc w:val="center"/>
                  </w:pPr>
                  <w:r>
                    <w:t xml:space="preserve">11</w:t>
                  </w:r>
                </w:p>
              </w:tc>
            </w:tr>
            <w:tr>
              <w:tc>
                <w:tcPr/>
                <w:p>
                  <w:pPr>
                    <w:pStyle w:val="Compact"/>
                    <w:jc w:val="left"/>
                    <w:jc w:val="center"/>
                  </w:pPr>
                  <w:r>
                    <w:t xml:space="preserve">baystudy</w:t>
                  </w:r>
                </w:p>
              </w:tc>
              <w:tc>
                <w:tcPr/>
                <w:p>
                  <w:pPr>
                    <w:pStyle w:val="Compact"/>
                    <w:jc w:val="left"/>
                    <w:jc w:val="center"/>
                  </w:pPr>
                  <w:r>
                    <w:t xml:space="preserve">West</w:t>
                  </w:r>
                </w:p>
              </w:tc>
              <w:tc>
                <w:tcPr/>
                <w:p>
                  <w:pPr>
                    <w:pStyle w:val="Compact"/>
                    <w:jc w:val="left"/>
                    <w:jc w:val="center"/>
                  </w:pPr>
                  <w:r>
                    <w:t xml:space="preserve">Juvenile</w:t>
                  </w:r>
                </w:p>
              </w:tc>
              <w:tc>
                <w:tcPr/>
                <w:p>
                  <w:pPr>
                    <w:pStyle w:val="Compact"/>
                    <w:jc w:val="right"/>
                    <w:jc w:val="center"/>
                  </w:pPr>
                  <w:r>
                    <w:t xml:space="preserve">6</w:t>
                  </w:r>
                </w:p>
              </w:tc>
            </w:tr>
            <w:tr>
              <w:tc>
                <w:tcPr/>
                <w:p>
                  <w:pPr>
                    <w:pStyle w:val="Compact"/>
                    <w:jc w:val="left"/>
                    <w:jc w:val="center"/>
                  </w:pPr>
                  <w:r>
                    <w:t xml:space="preserve">sls</w:t>
                  </w:r>
                </w:p>
              </w:tc>
              <w:tc>
                <w:tcPr/>
                <w:p>
                  <w:pPr>
                    <w:pStyle w:val="Compact"/>
                    <w:jc w:val="left"/>
                    <w:jc w:val="center"/>
                  </w:pPr>
                  <w:r>
                    <w:t xml:space="preserve">Far West</w:t>
                  </w:r>
                </w:p>
              </w:tc>
              <w:tc>
                <w:tcPr/>
                <w:p>
                  <w:pPr>
                    <w:pStyle w:val="Compact"/>
                    <w:jc w:val="left"/>
                    <w:jc w:val="center"/>
                  </w:pPr>
                  <w:r>
                    <w:t xml:space="preserve">Larva</w:t>
                  </w:r>
                </w:p>
              </w:tc>
              <w:tc>
                <w:tcPr/>
                <w:p>
                  <w:pPr>
                    <w:pStyle w:val="Compact"/>
                    <w:jc w:val="right"/>
                    <w:jc w:val="center"/>
                  </w:pPr>
                  <w:r>
                    <w:t xml:space="preserve">82</w:t>
                  </w:r>
                </w:p>
              </w:tc>
            </w:tr>
            <w:tr>
              <w:tc>
                <w:tcPr/>
                <w:p>
                  <w:pPr>
                    <w:pStyle w:val="Compact"/>
                    <w:jc w:val="left"/>
                    <w:jc w:val="center"/>
                  </w:pPr>
                  <w:r>
                    <w:t xml:space="preserve">sls</w:t>
                  </w:r>
                </w:p>
              </w:tc>
              <w:tc>
                <w:tcPr/>
                <w:p>
                  <w:pPr>
                    <w:pStyle w:val="Compact"/>
                    <w:jc w:val="left"/>
                    <w:jc w:val="center"/>
                  </w:pPr>
                  <w:r>
                    <w:t xml:space="preserve">North</w:t>
                  </w:r>
                </w:p>
              </w:tc>
              <w:tc>
                <w:tcPr/>
                <w:p>
                  <w:pPr>
                    <w:pStyle w:val="Compact"/>
                    <w:jc w:val="left"/>
                    <w:jc w:val="center"/>
                  </w:pPr>
                  <w:r>
                    <w:t xml:space="preserve">Larva</w:t>
                  </w:r>
                </w:p>
              </w:tc>
              <w:tc>
                <w:tcPr/>
                <w:p>
                  <w:pPr>
                    <w:pStyle w:val="Compact"/>
                    <w:jc w:val="right"/>
                    <w:jc w:val="center"/>
                  </w:pPr>
                  <w:r>
                    <w:t xml:space="preserve">2</w:t>
                  </w:r>
                </w:p>
              </w:tc>
            </w:tr>
            <w:tr>
              <w:tc>
                <w:tcPr/>
                <w:p>
                  <w:pPr>
                    <w:pStyle w:val="Compact"/>
                    <w:jc w:val="left"/>
                    <w:jc w:val="center"/>
                  </w:pPr>
                  <w:r>
                    <w:t xml:space="preserve">sls</w:t>
                  </w:r>
                </w:p>
              </w:tc>
              <w:tc>
                <w:tcPr/>
                <w:p>
                  <w:pPr>
                    <w:pStyle w:val="Compact"/>
                    <w:jc w:val="left"/>
                    <w:jc w:val="center"/>
                  </w:pPr>
                  <w:r>
                    <w:t xml:space="preserve">South</w:t>
                  </w:r>
                </w:p>
              </w:tc>
              <w:tc>
                <w:tcPr/>
                <w:p>
                  <w:pPr>
                    <w:pStyle w:val="Compact"/>
                    <w:jc w:val="left"/>
                    <w:jc w:val="center"/>
                  </w:pPr>
                  <w:r>
                    <w:t xml:space="preserve">Larva</w:t>
                  </w:r>
                </w:p>
              </w:tc>
              <w:tc>
                <w:tcPr/>
                <w:p>
                  <w:pPr>
                    <w:pStyle w:val="Compact"/>
                    <w:jc w:val="right"/>
                    <w:jc w:val="center"/>
                  </w:pPr>
                  <w:r>
                    <w:t xml:space="preserve">2</w:t>
                  </w:r>
                </w:p>
              </w:tc>
            </w:tr>
            <w:tr>
              <w:tc>
                <w:tcPr/>
                <w:p>
                  <w:pPr>
                    <w:pStyle w:val="Compact"/>
                    <w:jc w:val="left"/>
                    <w:jc w:val="center"/>
                  </w:pPr>
                  <w:r>
                    <w:t xml:space="preserve">sls</w:t>
                  </w:r>
                </w:p>
              </w:tc>
              <w:tc>
                <w:tcPr/>
                <w:p>
                  <w:pPr>
                    <w:pStyle w:val="Compact"/>
                    <w:jc w:val="left"/>
                    <w:jc w:val="center"/>
                  </w:pPr>
                  <w:r>
                    <w:t xml:space="preserve">West</w:t>
                  </w:r>
                </w:p>
              </w:tc>
              <w:tc>
                <w:tcPr/>
                <w:p>
                  <w:pPr>
                    <w:pStyle w:val="Compact"/>
                    <w:jc w:val="left"/>
                    <w:jc w:val="center"/>
                  </w:pPr>
                  <w:r>
                    <w:t xml:space="preserve">Larva</w:t>
                  </w:r>
                </w:p>
              </w:tc>
              <w:tc>
                <w:tcPr/>
                <w:p>
                  <w:pPr>
                    <w:pStyle w:val="Compact"/>
                    <w:jc w:val="right"/>
                    <w:jc w:val="center"/>
                  </w:pPr>
                  <w:r>
                    <w:t xml:space="preserve">36</w:t>
                  </w:r>
                </w:p>
              </w:tc>
            </w:tr>
          </w:tbl>
          <w:bookmarkEnd w:id="52"/>
          <w:p/>
        </w:tc>
      </w:tr>
    </w:tbl>
    <w:tbl>
      <w:tblPr>
        <w:tblStyle w:val="Table"/>
        <w:tblW w:type="pct" w:w="5000"/>
        <w:tblLayout w:type="fixed"/>
        <w:tblLook w:firstRow="0" w:lastRow="0" w:firstColumn="0" w:lastColumn="0" w:noHBand="0" w:noVBand="0" w:val="0000"/>
      </w:tblPr>
      <w:tblGrid>
        <w:gridCol w:w="7920"/>
      </w:tblGrid>
      <w:tr>
        <w:tc>
          <w:tcPr/>
          <w:bookmarkStart w:id="56" w:name="fig-lfs-catch"/>
          <w:p>
            <w:pPr>
              <w:pStyle w:val="Compact"/>
              <w:jc w:val="center"/>
            </w:pPr>
            <w:r>
              <w:drawing>
                <wp:inline>
                  <wp:extent cx="4576576" cy="3661261"/>
                  <wp:effectExtent b="0" l="0" r="0" t="0"/>
                  <wp:docPr descr="" title="" id="54" name="Picture"/>
                  <a:graphic>
                    <a:graphicData uri="http://schemas.openxmlformats.org/drawingml/2006/picture">
                      <pic:pic>
                        <pic:nvPicPr>
                          <pic:cNvPr descr="smt-assessment-v1_files/figure-docx/fig-lfs-catch-1.png" id="55" name="Picture"/>
                          <pic:cNvPicPr>
                            <a:picLocks noChangeArrowheads="1" noChangeAspect="1"/>
                          </pic:cNvPicPr>
                        </pic:nvPicPr>
                        <pic:blipFill>
                          <a:blip r:embed="rId53"/>
                          <a:stretch>
                            <a:fillRect/>
                          </a:stretch>
                        </pic:blipFill>
                        <pic:spPr bwMode="auto">
                          <a:xfrm>
                            <a:off x="0" y="0"/>
                            <a:ext cx="4576576" cy="36612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Time series of longfin smelt catch, WY 2026</w:t>
            </w:r>
          </w:p>
          <w:bookmarkEnd w:id="56"/>
        </w:tc>
      </w:tr>
    </w:tbl>
    <w:bookmarkEnd w:id="57"/>
    <w:bookmarkStart w:id="61" w:name="real-time-assessment-thresholds-1"/>
    <w:p>
      <w:pPr>
        <w:pStyle w:val="Heading4"/>
      </w:pPr>
      <w:r>
        <w:t xml:space="preserve">Real-time Assessment Thresholds</w:t>
      </w:r>
    </w:p>
    <w:bookmarkStart w:id="58" w:name="X20cb4fe57c6f57bc33c1a6af910e71e88796402"/>
    <w:p>
      <w:pPr>
        <w:pStyle w:val="Heading5"/>
      </w:pPr>
      <w:r>
        <w:t xml:space="preserve">Start of Entrainment Management (Adult Longfin Smelt)</w:t>
      </w:r>
    </w:p>
    <w:p>
      <w:pPr>
        <w:pStyle w:val="Compact"/>
        <w:numPr>
          <w:ilvl w:val="0"/>
          <w:numId w:val="1012"/>
        </w:numPr>
      </w:pPr>
      <w:r>
        <w:t xml:space="preserve">Not relevant</w:t>
      </w:r>
    </w:p>
    <w:bookmarkEnd w:id="58"/>
    <w:bookmarkStart w:id="59" w:name="adult-longfin-smelt"/>
    <w:p>
      <w:pPr>
        <w:pStyle w:val="Heading5"/>
      </w:pPr>
      <w:r>
        <w:t xml:space="preserve">Adult longfin smelt</w:t>
      </w:r>
    </w:p>
    <w:p>
      <w:pPr>
        <w:pStyle w:val="Compact"/>
        <w:numPr>
          <w:ilvl w:val="0"/>
          <w:numId w:val="1013"/>
        </w:numPr>
      </w:pPr>
      <w:r>
        <w:rPr>
          <w:b/>
          <w:bCs/>
        </w:rPr>
        <w:t xml:space="preserve">Threshold:</w:t>
      </w:r>
      <w:r>
        <w:t xml:space="preserve"> </w:t>
      </w:r>
      <w:r>
        <w:t xml:space="preserve">JPF &lt; 0 cfs, annual loss is on a trajectory to exceed 5% of the adult population abundance, and reduced exports will reduce entrainment in the south Delta</w:t>
      </w:r>
    </w:p>
    <w:p>
      <w:pPr>
        <w:pStyle w:val="Compact"/>
        <w:numPr>
          <w:ilvl w:val="1"/>
          <w:numId w:val="1014"/>
        </w:numPr>
      </w:pPr>
      <w:r>
        <w:t xml:space="preserve">Daily average JPF: 2,148 cfs as of Jan 25, 2026</w:t>
      </w:r>
    </w:p>
    <w:p>
      <w:pPr>
        <w:pStyle w:val="Compact"/>
        <w:numPr>
          <w:ilvl w:val="1"/>
          <w:numId w:val="1014"/>
        </w:numPr>
      </w:pPr>
      <w:r>
        <w:t xml:space="preserve">Adult abundance (Age 1+ LFS index): 2479.2 fish</w:t>
      </w:r>
    </w:p>
    <w:p>
      <w:pPr>
        <w:pStyle w:val="Compact"/>
        <w:numPr>
          <w:ilvl w:val="2"/>
          <w:numId w:val="1015"/>
        </w:numPr>
      </w:pPr>
      <w:r>
        <w:t xml:space="preserve">5% of abundance + 1: 125.0</w:t>
      </w:r>
    </w:p>
    <w:p>
      <w:pPr>
        <w:pStyle w:val="Compact"/>
        <w:numPr>
          <w:ilvl w:val="1"/>
          <w:numId w:val="1014"/>
        </w:numPr>
      </w:pPr>
      <w:r>
        <w:t xml:space="preserve">Water year total adult longfin smelt salvage = 0</w:t>
      </w:r>
    </w:p>
    <w:bookmarkEnd w:id="59"/>
    <w:bookmarkStart w:id="60" w:name="larvaljuvenile-longfin-smelt"/>
    <w:p>
      <w:pPr>
        <w:pStyle w:val="Heading5"/>
      </w:pPr>
      <w:r>
        <w:t xml:space="preserve">Larval/juvenile longfin smelt</w:t>
      </w:r>
    </w:p>
    <w:p>
      <w:pPr>
        <w:pStyle w:val="Compact"/>
        <w:numPr>
          <w:ilvl w:val="0"/>
          <w:numId w:val="1016"/>
        </w:numPr>
      </w:pPr>
      <w:r>
        <w:rPr>
          <w:b/>
          <w:bCs/>
        </w:rPr>
        <w:t xml:space="preserve">Threshold:</w:t>
      </w:r>
      <w:r>
        <w:t xml:space="preserve"> </w:t>
      </w:r>
      <w:r>
        <w:t xml:space="preserve">JPF &lt; 0 cfs AND population model demonstrates need to reduce entrainment to avoid population decline</w:t>
      </w:r>
    </w:p>
    <w:p>
      <w:pPr>
        <w:pStyle w:val="Compact"/>
        <w:numPr>
          <w:ilvl w:val="1"/>
          <w:numId w:val="1017"/>
        </w:numPr>
      </w:pPr>
      <w:r>
        <w:t xml:space="preserve">Daily average JPF: 2,148 cfs as of Jan 25, 2026</w:t>
      </w:r>
    </w:p>
    <w:bookmarkEnd w:id="60"/>
    <w:bookmarkEnd w:id="61"/>
    <w:bookmarkStart w:id="62" w:name="evaluation-1"/>
    <w:p>
      <w:pPr>
        <w:pStyle w:val="Heading4"/>
      </w:pPr>
      <w:r>
        <w:t xml:space="preserve">Evaluation</w:t>
      </w:r>
    </w:p>
    <w:p>
      <w:pPr>
        <w:pStyle w:val="FirstParagraph"/>
      </w:pPr>
      <w:r>
        <w:rPr>
          <w:b/>
          <w:bCs/>
        </w:rPr>
        <w:t xml:space="preserve">Longfin smelt:</w:t>
      </w:r>
    </w:p>
    <w:p>
      <w:pPr>
        <w:numPr>
          <w:ilvl w:val="0"/>
          <w:numId w:val="1018"/>
        </w:numPr>
      </w:pPr>
      <w:r>
        <w:t xml:space="preserve">If JPF &lt; 0, what is the trajectory of annual loss of adult longfin smelt and is it likely to exceed 5% of the adult population estimate? Is South Delta entrainment expected to decrease due to a reduction in export pumping?</w:t>
      </w:r>
    </w:p>
    <w:p>
      <w:pPr>
        <w:numPr>
          <w:ilvl w:val="0"/>
          <w:numId w:val="1000"/>
        </w:numPr>
      </w:pPr>
      <w:r>
        <w:t xml:space="preserve">JPF is not &lt; 0 cfs and no adult longfin smelt have been detected in salvage.</w:t>
      </w:r>
    </w:p>
    <w:p>
      <w:pPr>
        <w:numPr>
          <w:ilvl w:val="0"/>
          <w:numId w:val="1018"/>
        </w:numPr>
      </w:pPr>
      <w:r>
        <w:t xml:space="preserve">For larval and juvenile longfin smelt, if JPF &lt; 0 cfs, do particle tracking models show a moderate to high difference in particle fates across different OMRI scenarios? Does Zone of Influence modeling show moderate to high changes in hydrodynamic footprint across different OMRI scenarios? Are these effects anticipated to cause a population decline?</w:t>
      </w:r>
    </w:p>
    <w:p>
      <w:pPr>
        <w:numPr>
          <w:ilvl w:val="0"/>
          <w:numId w:val="1000"/>
        </w:numPr>
      </w:pPr>
      <w:r>
        <w:t xml:space="preserve">JPF is not &lt; 0 cfs. ZOI modeling shows moderate change in the hydrodynamic footprint</w:t>
      </w:r>
      <w:r>
        <w:t xml:space="preserve"> </w:t>
      </w:r>
      <w:r>
        <w:t xml:space="preserve">between OMRI scenarios, but no change between current and forecasted conditions.</w:t>
      </w:r>
    </w:p>
    <w:p>
      <w:pPr>
        <w:numPr>
          <w:ilvl w:val="0"/>
          <w:numId w:val="1018"/>
        </w:numPr>
      </w:pPr>
      <w:r>
        <w:t xml:space="preserve">Is there additional information or other analyses that should be considered in this evaluation?</w:t>
      </w:r>
    </w:p>
    <w:p>
      <w:pPr>
        <w:numPr>
          <w:ilvl w:val="0"/>
          <w:numId w:val="1000"/>
        </w:numPr>
      </w:pPr>
      <w:r>
        <w:t xml:space="preserve">Additional information may be discussed if needed at the DAT call.</w:t>
      </w:r>
    </w:p>
    <w:bookmarkEnd w:id="62"/>
    <w:bookmarkEnd w:id="63"/>
    <w:bookmarkStart w:id="64" w:name="end-of-smelt-entrainment-management"/>
    <w:p>
      <w:pPr>
        <w:pStyle w:val="Heading3"/>
      </w:pPr>
      <w:r>
        <w:t xml:space="preserve">End of smelt Entrainment Management</w:t>
      </w:r>
    </w:p>
    <w:p>
      <w:pPr>
        <w:pStyle w:val="Compact"/>
        <w:numPr>
          <w:ilvl w:val="0"/>
          <w:numId w:val="1019"/>
        </w:numPr>
      </w:pPr>
      <w:r>
        <w:t xml:space="preserve">Not relevant</w:t>
      </w:r>
    </w:p>
    <w:bookmarkEnd w:id="64"/>
    <w:bookmarkStart w:id="65" w:name="references"/>
    <w:p>
      <w:pPr>
        <w:pStyle w:val="Heading3"/>
      </w:pPr>
      <w:r>
        <w:t xml:space="preserve">References</w:t>
      </w:r>
    </w:p>
    <w:p>
      <w:pPr>
        <w:pStyle w:val="FirstParagraph"/>
      </w:pPr>
      <w:r>
        <w:t xml:space="preserve">Damon, L. J., S. B. Slater, R. D. Baxter, and R. W. Fujimura. 2016.</w:t>
      </w:r>
      <w:r>
        <w:t xml:space="preserve"> </w:t>
      </w:r>
      <w:r>
        <w:t xml:space="preserve">Fecundity and reproductive potential of wild female Delta smelt in the upper San</w:t>
      </w:r>
      <w:r>
        <w:t xml:space="preserve"> </w:t>
      </w:r>
      <w:r>
        <w:t xml:space="preserve">Francisco Estuary, California. California Fish and Game 102(4):188–210.</w:t>
      </w:r>
    </w:p>
    <w:p>
      <w:pPr>
        <w:pStyle w:val="BodyText"/>
      </w:pPr>
      <w:r>
        <w:t xml:space="preserve">Grimaldo, L. F., T. Sommer, N. Van Ark, G. Jones, E. Holland, P. B. Moyle,</w:t>
      </w:r>
      <w:r>
        <w:t xml:space="preserve"> </w:t>
      </w:r>
      <w:r>
        <w:t xml:space="preserve">B. Herbold &amp; P. Smith (2009) Factors Affecting Fish Entrainment into Massive Water</w:t>
      </w:r>
      <w:r>
        <w:t xml:space="preserve"> </w:t>
      </w:r>
      <w:r>
        <w:t xml:space="preserve">Diversions in a Tidal Freshwater Estuary: Can Fish Losses be Managed? North</w:t>
      </w:r>
      <w:r>
        <w:t xml:space="preserve"> </w:t>
      </w:r>
      <w:r>
        <w:t xml:space="preserve">American Journal of Fisheries Management, 29:5, 1253-1270, DOI: 10.1577/M08-062.1</w:t>
      </w:r>
    </w:p>
    <w:p>
      <w:pPr>
        <w:pStyle w:val="BodyText"/>
      </w:pPr>
      <w:r>
        <w:t xml:space="preserve">Sommer, T., F. Mejia, M. Nobriga, and L. Grimaldo. 2011. The Spawning Migration</w:t>
      </w:r>
      <w:r>
        <w:t xml:space="preserve"> </w:t>
      </w:r>
      <w:r>
        <w:t xml:space="preserve">of Delta Smelt in the Upper San Francisco Estuary. San Francisco Estuary and Watershed Science 9(2).</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hyperlink" Id="rId44" Target="https://github.com/Delta-Stewardship-Council/deltafish" TargetMode="External" /><Relationship Type="http://schemas.openxmlformats.org/officeDocument/2006/relationships/hyperlink" Id="rId40" Target="https://www.baydeltalive.com/current_conditions/constituent-tracker-turbidity" TargetMode="External" /><Relationship Type="http://schemas.openxmlformats.org/officeDocument/2006/relationships/hyperlink" Id="rId23" Target="https://www.cbr.washington.edu/sacramento/data/query_salvage_hrt.html" TargetMode="External" /><Relationship Type="http://schemas.openxmlformats.org/officeDocument/2006/relationships/hyperlink" Id="rId21" Target="https://www.cbr.washington.edu/sacramento/workgroups/delta_smelt.html"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Delta-Stewardship-Council/deltafish" TargetMode="External" /><Relationship Type="http://schemas.openxmlformats.org/officeDocument/2006/relationships/hyperlink" Id="rId40" Target="https://www.baydeltalive.com/current_conditions/constituent-tracker-turbidity" TargetMode="External" /><Relationship Type="http://schemas.openxmlformats.org/officeDocument/2006/relationships/hyperlink" Id="rId23" Target="https://www.cbr.washington.edu/sacramento/data/query_salvage_hrt.html" TargetMode="External" /><Relationship Type="http://schemas.openxmlformats.org/officeDocument/2006/relationships/hyperlink" Id="rId21" Target="https://www.cbr.washington.edu/sacramento/workgroups/delta_smel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2026-01-26T18:49:00Z</dcterms:created>
  <dcterms:modified xsi:type="dcterms:W3CDTF">2026-01-26T18:49:00Z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