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current-delta-hydrologic-conditions"/>
    <w:p>
      <w:pPr>
        <w:pStyle w:val="Heading2"/>
      </w:pPr>
      <w:r>
        <w:t xml:space="preserve">Current Delta Hydrologic Conditions</w:t>
      </w:r>
    </w:p>
    <w:p>
      <w:pPr>
        <w:pStyle w:val="FirstParagraph"/>
      </w:pPr>
      <w:r>
        <w:t xml:space="preserve">Last updated:</w:t>
      </w:r>
      <w:r>
        <w:t xml:space="preserve"> </w:t>
      </w:r>
      <w:r>
        <w:rPr>
          <w:i/>
          <w:iCs/>
        </w:rPr>
        <w:t xml:space="preserve">February 17, 2026</w:t>
      </w:r>
    </w:p>
    <w:bookmarkStart w:id="20" w:name="operational-and-regulatory-conditions"/>
    <w:p>
      <w:pPr>
        <w:pStyle w:val="Heading3"/>
      </w:pPr>
      <w:r>
        <w:t xml:space="preserve">Operational and Regulatory Conditions</w:t>
      </w:r>
    </w:p>
    <w:p>
      <w:pPr>
        <w:pStyle w:val="FirstParagraph"/>
      </w:pPr>
      <w:r>
        <w:t xml:space="preserve">The current controlling factor is Delta Outflow X2. See most recent weekly outlook for more information.</w:t>
      </w:r>
    </w:p>
    <w:bookmarkEnd w:id="20"/>
    <w:bookmarkStart w:id="26" w:name="current-conditions"/>
    <w:p>
      <w:pPr>
        <w:pStyle w:val="Heading3"/>
      </w:pPr>
      <w:r>
        <w:t xml:space="preserve">Current Conditions</w:t>
      </w:r>
    </w:p>
    <w:p>
      <w:pPr>
        <w:pStyle w:val="FirstParagraph"/>
      </w:pPr>
      <w:r>
        <w:t xml:space="preserve">Most recent inflow at Freeport in the Sacramento River and Vernalis in the San Joaquin River is 31,197 and 2,851 cfs respectively. Most recent 1-day, 5-day, and 14-day OMRI measurements were -4,989, -4,205, and -5,061 cfs respectively, and most recent export data were 3,551 cfs for Jones Pumping Plant and 1,734 cfs for Henry O. Banks Pumping Plant.</w:t>
      </w:r>
    </w:p>
    <w:tbl>
      <w:tblPr>
        <w:tblStyle w:val="Table"/>
        <w:tblW w:type="pct" w:w="5000"/>
        <w:tblLayout w:type="fixed"/>
        <w:tblLook w:firstRow="0" w:lastRow="0" w:firstColumn="0" w:lastColumn="0" w:noHBand="0" w:noVBand="0" w:val="0000"/>
      </w:tblPr>
      <w:tblGrid>
        <w:gridCol w:w="7920"/>
      </w:tblGrid>
      <w:tr>
        <w:tc>
          <w:tcPr/>
          <w:bookmarkStart w:id="24" w:name="fig-triggers"/>
          <w:p>
            <w:pPr>
              <w:pStyle w:val="Compact"/>
              <w:jc w:val="center"/>
            </w:pPr>
            <w:r>
              <w:drawing>
                <wp:inline>
                  <wp:extent cx="5943600" cy="4622800"/>
                  <wp:effectExtent b="0" l="0" r="0" t="0"/>
                  <wp:docPr descr="" title="" id="22" name="Picture"/>
                  <a:graphic>
                    <a:graphicData uri="http://schemas.openxmlformats.org/drawingml/2006/picture">
                      <pic:pic>
                        <pic:nvPicPr>
                          <pic:cNvPr descr="delta_hydro_files/figure-docx/fig-triggers-1.png" id="23" name="Picture"/>
                          <pic:cNvPicPr>
                            <a:picLocks noChangeArrowheads="1" noChangeAspect="1"/>
                          </pic:cNvPicPr>
                        </pic:nvPicPr>
                        <pic:blipFill>
                          <a:blip r:embed="rId2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Operations and Action Summary, WY 2026. The numbers and dashed lines in the OMRI plot indicate different triggers (see Table 1), with shading representing specific action periods. OMRI data (colored lines) calculated by SacPAS, Freeport (FPT) and Vernalis (VNS) flow data from CDEC, and CVP (TRP) and SWP (HRO) exports data from CDEC.</w:t>
            </w:r>
          </w:p>
          <w:bookmarkEnd w:id="24"/>
        </w:tc>
      </w:tr>
    </w:tbl>
    <w:tbl>
      <w:tblPr>
        <w:tblStyle w:val="Table"/>
        <w:tblW w:type="pct" w:w="5000"/>
        <w:tblLayout w:type="fixed"/>
        <w:tblLook w:firstRow="0" w:lastRow="0" w:firstColumn="0" w:lastColumn="0" w:noHBand="0" w:noVBand="0" w:val="0000"/>
      </w:tblPr>
      <w:tblGrid>
        <w:gridCol w:w="7920"/>
      </w:tblGrid>
      <w:tr>
        <w:tc>
          <w:tcPr/>
          <w:bookmarkStart w:id="25" w:name="tbl-triggers"/>
          <w:p>
            <w:pPr>
              <w:jc w:val="center"/>
            </w:pPr>
            <w:pPr>
              <w:jc w:val="start"/>
              <w:spacing w:before="200"/>
              <w:pStyle w:val="ImageCaption"/>
            </w:pPr>
            <w:r>
              <w:t xml:space="preserve">Table 1: Summary of Actions and Triggers, WY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Label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Date Triggered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Date Implemented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Number Days Implemented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Regulation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DCC Gate Closure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10/28/2025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2025-10-30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Ongoing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DCC gates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First Flush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12/24/2025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2025-12-25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14 days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Entrainment Management</w:t>
                  </w:r>
                </w:p>
              </w:tc>
            </w:tr>
          </w:tbl>
          <w:bookmarkEnd w:id="25"/>
        </w:tc>
      </w:tr>
    </w:tbl>
    <w:bookmarkEnd w:id="26"/>
    <w:bookmarkStart w:id="33" w:name="zone-of-influence"/>
    <w:p>
      <w:pPr>
        <w:pStyle w:val="Heading3"/>
      </w:pPr>
      <w:r>
        <w:t xml:space="preserve">Zone of Influence</w:t>
      </w:r>
    </w:p>
    <w:p>
      <w:pPr>
        <w:pStyle w:val="FirstParagraph"/>
      </w:pPr>
      <w:r>
        <w:t xml:space="preserve">Zone of Influence (ZOI) analysis is discussed in detail in the December 22 assessment. Current conditions were queried from most recent Freeport flow data on the Sacramento River and Vernalis flow data on the San Joaquin river from</w:t>
      </w:r>
      <w:r>
        <w:t xml:space="preserve"> </w:t>
      </w:r>
      <w:hyperlink r:id="rId27">
        <w:r>
          <w:rPr>
            <w:rStyle w:val="Hyperlink"/>
          </w:rPr>
          <w:t xml:space="preserve">SacPAS</w:t>
        </w:r>
      </w:hyperlink>
      <w:r>
        <w:t xml:space="preserve">. Forecasted flows were queried from short range deterministic flows provided by the</w:t>
      </w:r>
      <w:r>
        <w:t xml:space="preserve"> </w:t>
      </w:r>
      <w:hyperlink r:id="rId28">
        <w:r>
          <w:rPr>
            <w:rStyle w:val="Hyperlink"/>
          </w:rPr>
          <w:t xml:space="preserve">California Nevada River Forecast Center</w:t>
        </w:r>
      </w:hyperlink>
      <w:r>
        <w:t xml:space="preserve">.</w:t>
      </w:r>
    </w:p>
    <w:p>
      <w:pPr>
        <w:pStyle w:val="BodyText"/>
      </w:pPr>
      <w:r>
        <w:t xml:space="preserve">Current conditions at Freeport and Vernalis indicate that delta hydrology falls within the</w:t>
      </w:r>
      <w:r>
        <w:t xml:space="preserve"> </w:t>
      </w:r>
      <w:r>
        <w:t xml:space="preserve">‘himed’</w:t>
      </w:r>
      <w:r>
        <w:t xml:space="preserve"> </w:t>
      </w:r>
      <w:r>
        <w:t xml:space="preserve">category. Forecasted conditions averaged across the next 7 days falls within the</w:t>
      </w:r>
      <w:r>
        <w:t xml:space="preserve"> </w:t>
      </w:r>
      <w:r>
        <w:t xml:space="preserve">‘hihi’</w:t>
      </w:r>
      <w:r>
        <w:t xml:space="preserve"> </w:t>
      </w:r>
      <w:r>
        <w:t xml:space="preserve">category.</w:t>
      </w:r>
    </w:p>
    <w:p>
      <w:pPr>
        <w:pStyle w:val="BodyText"/>
      </w:pPr>
      <w:r>
        <w:t xml:space="preserve">The altered channel length for the current</w:t>
      </w:r>
      <w:r>
        <w:t xml:space="preserve"> </w:t>
      </w:r>
      <w:r>
        <w:t xml:space="preserve">“himed”</w:t>
      </w:r>
      <w:r>
        <w:t xml:space="preserve"> </w:t>
      </w:r>
      <w:r>
        <w:t xml:space="preserve">hydrology is 23, 53, 118 and 111 kilometers (km) across OMR bins of -2000, -3500, -5000 and &lt;-5500 respectively. The altered channel length for forecasted</w:t>
      </w:r>
      <w:r>
        <w:t xml:space="preserve"> </w:t>
      </w:r>
      <w:r>
        <w:t xml:space="preserve">“hihi”</w:t>
      </w:r>
      <w:r>
        <w:t xml:space="preserve"> </w:t>
      </w:r>
      <w:r>
        <w:t xml:space="preserve">hydrology is 99, 100, 119 and 114 kilometers (km) across OMR bins of -2000, -3500, -5000 and &lt;-5500 respectively.</w:t>
      </w:r>
    </w:p>
    <w:p>
      <w:pPr>
        <w:pStyle w:val="BodyText"/>
      </w:pPr>
      <w:r>
        <w:t xml:space="preserve">Change in altered channel length between OMR levels is 88 km for current conditions and 15 km for forecasted conditions indicating that ZOI impacts across OMR scenarios would decrease between current and forecasted conditions. Across the nine hydrology bins, changes in altered channel length across OMR scenarios are moderate (between 25th and 75th percentiles) and low (&lt;25th percentile) respectively for current and forecasted hydrology.</w:t>
      </w:r>
    </w:p>
    <w:tbl>
      <w:tblPr>
        <w:tblStyle w:val="Table"/>
        <w:tblW w:type="pct" w:w="5000"/>
        <w:tblLayout w:type="fixed"/>
        <w:tblLook w:firstRow="0" w:lastRow="0" w:firstColumn="0" w:lastColumn="0" w:noHBand="0" w:noVBand="0" w:val="0000"/>
      </w:tblPr>
      <w:tblGrid>
        <w:gridCol w:w="7920"/>
      </w:tblGrid>
      <w:tr>
        <w:tc>
          <w:tcPr/>
          <w:bookmarkStart w:id="32" w:name="fig-zoi_graph"/>
          <w:p>
            <w:pPr>
              <w:pStyle w:val="Compact"/>
              <w:jc w:val="center"/>
            </w:pPr>
            <w:r>
              <w:drawing>
                <wp:inline>
                  <wp:extent cx="5943600" cy="2971800"/>
                  <wp:effectExtent b="0" l="0" r="0" t="0"/>
                  <wp:docPr descr="" title="" id="30" name="Picture"/>
                  <a:graphic>
                    <a:graphicData uri="http://schemas.openxmlformats.org/drawingml/2006/picture">
                      <pic:pic>
                        <pic:nvPicPr>
                          <pic:cNvPr descr="delta_hydro_files/figure-docx/fig-zoi_graph-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Modeled Zone of Influence at different OMRI scenarios based on current inflow hydrology (left) and forecasted inflow hydrology (right) from the Sacramento River and San Joaquin River</w:t>
            </w:r>
          </w:p>
          <w:bookmarkEnd w:id="32"/>
        </w:tc>
      </w:tr>
    </w:tbl>
    <w:bookmarkEnd w:id="33"/>
    <w:bookmarkEnd w:id="34"/>
    <w:sectPr w:rsidR="006E75FE">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F76D" w14:textId="77777777" w:rsidR="00497B28" w:rsidRDefault="0049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071887"/>
      <w:docPartObj>
        <w:docPartGallery w:val="Page Numbers (Bottom of Page)"/>
        <w:docPartUnique/>
      </w:docPartObj>
    </w:sdtPr>
    <w:sdtEndPr>
      <w:rPr>
        <w:noProof/>
      </w:rPr>
    </w:sdtEndPr>
    <w:sdtContent>
      <w:p w14:paraId="2D32306A" w14:textId="7B292407" w:rsidR="00497B28" w:rsidRDefault="00497B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1F785" w14:textId="77777777" w:rsidR="00497B28" w:rsidRDefault="0049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1C14" w14:textId="77777777" w:rsidR="00497B28" w:rsidRDefault="00497B2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77C24" w14:textId="77777777" w:rsidR="00497B28" w:rsidRDefault="0049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F43F" w14:textId="77777777" w:rsidR="00497B28" w:rsidRDefault="00497B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8535" w14:textId="77777777" w:rsidR="00497B28" w:rsidRDefault="00497B28">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B72EDB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5778032"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95"/>
    <w:rsid w:val="001C2334"/>
    <w:rsid w:val="0044176F"/>
    <w:rsid w:val="00497B28"/>
    <w:rsid w:val="005A2AF6"/>
    <w:rsid w:val="006E75FE"/>
    <w:rsid w:val="00AC7395"/>
    <w:rsid w:val="00E40A4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497B28"/>
    <w:pPr>
      <w:tabs>
        <w:tab w:pos="4680" w:val="center"/>
        <w:tab w:pos="9360" w:val="right"/>
      </w:tabs>
      <w:spacing w:after="0"/>
    </w:pPr>
  </w:style>
  <w:style w:customStyle="1" w:styleId="HeaderChar" w:type="character">
    <w:name w:val="Header Char"/>
    <w:basedOn w:val="DefaultParagraphFont"/>
    <w:link w:val="Header"/>
    <w:rsid w:val="00497B28"/>
  </w:style>
  <w:style w:styleId="Footer" w:type="paragraph">
    <w:name w:val="footer"/>
    <w:basedOn w:val="Normal"/>
    <w:link w:val="FooterChar"/>
    <w:uiPriority w:val="99"/>
    <w:rsid w:val="00497B28"/>
    <w:pPr>
      <w:tabs>
        <w:tab w:pos="4680" w:val="center"/>
        <w:tab w:pos="9360" w:val="right"/>
      </w:tabs>
      <w:spacing w:after="0"/>
    </w:pPr>
  </w:style>
  <w:style w:customStyle="1" w:styleId="FooterChar" w:type="character">
    <w:name w:val="Footer Char"/>
    <w:basedOn w:val="DefaultParagraphFont"/>
    <w:link w:val="Footer"/>
    <w:uiPriority w:val="99"/>
    <w:rsid w:val="00497B2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_rels/footnotes.xml.rels><?xml version="1.0" encoding="UTF-8"?><Relationships xmlns="http://schemas.openxmlformats.org/package/2006/relationships"><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210</Words>
  <Characters>1327</Characters>
  <Application>Microsoft Office Word</Application>
  <DocSecurity>0</DocSecurity>
  <Lines>47</Lines>
  <Paragraphs>39</Paragraphs>
  <ScaleCrop>false</ScaleCrop>
  <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2026-02-17T14:09:25Z</dcterms:created>
  <dcterms:modified xsi:type="dcterms:W3CDTF">2026-02-17T14:09:25Z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