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25.png" ContentType="image/png"/>
  <Override PartName="/word/media/rId5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February 17, 2026</w:t>
      </w:r>
    </w:p>
    <w:bookmarkStart w:id="20" w:name="executive-summary"/>
    <w:p>
      <w:pPr>
        <w:pStyle w:val="Heading3"/>
      </w:pPr>
      <w:r>
        <w:t xml:space="preserve">Executive Summary</w:t>
      </w:r>
    </w:p>
    <w:p>
      <w:pPr>
        <w:pStyle w:val="Compact"/>
        <w:numPr>
          <w:ilvl w:val="0"/>
          <w:numId w:val="1001"/>
        </w:numPr>
      </w:pPr>
      <w:r>
        <w:t xml:space="preserve">Entrainment management is currently active.</w:t>
      </w:r>
    </w:p>
    <w:p>
      <w:pPr>
        <w:pStyle w:val="Compact"/>
        <w:numPr>
          <w:ilvl w:val="0"/>
          <w:numId w:val="1001"/>
        </w:numPr>
      </w:pPr>
      <w:r>
        <w:t xml:space="preserve">Delta smelt were recently detected at Suisun Marsh.</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low.</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 Juvenile</w:t>
      </w:r>
    </w:p>
    <w:p>
      <w:pPr>
        <w:numPr>
          <w:ilvl w:val="0"/>
          <w:numId w:val="1003"/>
        </w:numPr>
      </w:pPr>
      <w:r>
        <w:rPr>
          <w:b/>
          <w:bCs/>
        </w:rPr>
        <w:t xml:space="preserve">Abundance estimate:</w:t>
      </w:r>
      <w:r>
        <w:t xml:space="preserve"> </w:t>
      </w:r>
      <w:r>
        <w:t xml:space="preserve">1769 (95% CL: 155 to 7,562) as of the week of February 2–6,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36 adult Delta smelt and 29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2026-02-06</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2026-02-10</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4</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943600" cy="52006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33</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28</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Not relevant</w:t>
      </w:r>
    </w:p>
    <w:bookmarkEnd w:id="35"/>
    <w:bookmarkEnd w:id="36"/>
    <w:bookmarkStart w:id="40" w:name="real-time-assessment-thresholds"/>
    <w:p>
      <w:pPr>
        <w:pStyle w:val="Heading4"/>
      </w:pPr>
      <w:r>
        <w:t xml:space="preserve">Real-time Assessment Thresholds</w:t>
      </w:r>
    </w:p>
    <w:bookmarkStart w:id="38" w:name="adult-delta-smelt"/>
    <w:p>
      <w:pPr>
        <w:pStyle w:val="Heading5"/>
      </w:pPr>
      <w:r>
        <w:t xml:space="preserve">Adult Delta smelt</w:t>
      </w:r>
    </w:p>
    <w:p>
      <w:pPr>
        <w:pStyle w:val="Compact"/>
        <w:numPr>
          <w:ilvl w:val="0"/>
          <w:numId w:val="1006"/>
        </w:numPr>
      </w:pPr>
      <w:r>
        <w:t xml:space="preserve">Not relevant</w:t>
      </w:r>
    </w:p>
    <w:p>
      <w:pPr>
        <w:pStyle w:val="Compact"/>
        <w:numPr>
          <w:ilvl w:val="0"/>
          <w:numId w:val="1007"/>
        </w:numPr>
      </w:pPr>
      <w:r>
        <w:t xml:space="preserve">See</w:t>
      </w:r>
      <w:r>
        <w:t xml:space="preserve"> </w:t>
      </w:r>
      <w:hyperlink r:id="rId37">
        <w:r>
          <w:rPr>
            <w:rStyle w:val="Hyperlink"/>
          </w:rPr>
          <w:t xml:space="preserve">Bay-Delta Live</w:t>
        </w:r>
      </w:hyperlink>
      <w:r>
        <w:t xml:space="preserve"> </w:t>
      </w:r>
      <w:r>
        <w:t xml:space="preserve">for recent Delta-wide turbidity conditions.</w:t>
      </w:r>
      <w:r>
        <w:t xml:space="preserve"> </w:t>
      </w:r>
    </w:p>
    <w:bookmarkEnd w:id="38"/>
    <w:bookmarkStart w:id="39"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8"/>
        </w:numPr>
      </w:pPr>
      <w:r>
        <w:rPr>
          <w:b/>
          <w:bCs/>
        </w:rPr>
        <w:t xml:space="preserve">12-station South Delta Turbidity</w:t>
      </w:r>
      <w:r>
        <w:t xml:space="preserve">: The most recent average turbidity was 5.7 FNU as of Feb 11, 2025</w:t>
      </w:r>
    </w:p>
    <w:bookmarkEnd w:id="39"/>
    <w:bookmarkEnd w:id="40"/>
    <w:bookmarkStart w:id="42" w:name="evaluation"/>
    <w:p>
      <w:pPr>
        <w:pStyle w:val="Heading4"/>
      </w:pPr>
      <w:r>
        <w:t xml:space="preserve">Evaluation</w:t>
      </w:r>
    </w:p>
    <w:p>
      <w:pPr>
        <w:pStyle w:val="FirstParagraph"/>
      </w:pPr>
      <w:r>
        <w:rPr>
          <w:b/>
          <w:bCs/>
        </w:rPr>
        <w:t xml:space="preserve">Delta smelt:</w:t>
      </w:r>
    </w:p>
    <w:p>
      <w:pPr>
        <w:numPr>
          <w:ilvl w:val="0"/>
          <w:numId w:val="1009"/>
        </w:numPr>
      </w:pPr>
      <w:r>
        <w:t xml:space="preserve">After the start of entrainment management, is JPF &lt; 0 and is daily average turbidity</w:t>
      </w:r>
      <w:r>
        <w:t xml:space="preserve"> </w:t>
      </w:r>
      <m:oMath>
        <m:r>
          <m:rPr>
            <m:sty m:val="p"/>
          </m:rPr>
          <m:t>≥</m:t>
        </m:r>
      </m:oMath>
      <w:r>
        <w:t xml:space="preserve"> </w:t>
      </w:r>
      <w:r>
        <w:t xml:space="preserve">12 FNU in the OMR corridor (stations OBI, HOL, and OSJ)?</w:t>
      </w:r>
    </w:p>
    <w:p>
      <w:pPr>
        <w:numPr>
          <w:ilvl w:val="0"/>
          <w:numId w:val="1000"/>
        </w:numPr>
      </w:pPr>
      <w:r>
        <w:t xml:space="preserve">The turbidity in the OMR corridor is not likely to be exceeded this week,</w:t>
      </w:r>
      <w:r>
        <w:t xml:space="preserve"> </w:t>
      </w:r>
      <w:r>
        <w:t xml:space="preserve">and JPF is predicted to stay above 0 cfs.</w:t>
      </w:r>
    </w:p>
    <w:p>
      <w:pPr>
        <w:numPr>
          <w:ilvl w:val="0"/>
          <w:numId w:val="1009"/>
        </w:numPr>
      </w:pPr>
      <w:r>
        <w:t xml:space="preserve">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Temperature at Jersey Point exceeded the threshold on February 12th, 2025. Jersey</w:t>
      </w:r>
      <w:r>
        <w:t xml:space="preserve"> </w:t>
      </w:r>
      <w:r>
        <w:t xml:space="preserve">Point 3 day average temperature was (12.05°C) on February 10th, (12.09°C) on February 11th</w:t>
      </w:r>
      <w:r>
        <w:t xml:space="preserve"> </w:t>
      </w:r>
      <w:r>
        <w:t xml:space="preserve">and (12.13°C) on February 12th.</w:t>
      </w:r>
    </w:p>
    <w:p>
      <w:pPr>
        <w:numPr>
          <w:ilvl w:val="0"/>
          <w:numId w:val="1009"/>
        </w:numPr>
      </w:pPr>
      <w:r>
        <w:t xml:space="preserve">What is the evidence for the onset of Delta smelt spawning?</w:t>
      </w:r>
    </w:p>
    <w:p>
      <w:pPr>
        <w:numPr>
          <w:ilvl w:val="0"/>
          <w:numId w:val="1000"/>
        </w:numPr>
      </w:pPr>
      <w:r>
        <w:t xml:space="preserve">Upstream migration for Delta smelt occurs between September and December and in response</w:t>
      </w:r>
      <w:r>
        <w:t xml:space="preserve"> </w:t>
      </w:r>
      <w:r>
        <w:t xml:space="preserve">to</w:t>
      </w:r>
      <w:r>
        <w:t xml:space="preserve"> </w:t>
      </w:r>
      <w:r>
        <w:t xml:space="preserve">“first flush”</w:t>
      </w:r>
      <w:r>
        <w:t xml:space="preserve"> </w:t>
      </w:r>
      <w:r>
        <w:t xml:space="preserve">conditions (Sommer et al. 2011, Grimaldo et al. 2009). Migration typically ranges one</w:t>
      </w:r>
      <w:r>
        <w:t xml:space="preserve"> </w:t>
      </w:r>
      <w:r>
        <w:t xml:space="preserve">to four weeks after flow and turbidity increases, based on salvage data (Sommer et al. 2011).</w:t>
      </w:r>
      <w:r>
        <w:t xml:space="preserve"> </w:t>
      </w:r>
      <w:r>
        <w:t xml:space="preserve">Historically, detections of ripe Delta smelt began in January and peaked in February and March and</w:t>
      </w:r>
      <w:r>
        <w:t xml:space="preserve"> </w:t>
      </w:r>
      <w:r>
        <w:t xml:space="preserve">the majority of Delta Smelt spawning occurs within a temperature range of 9-18˚C (Damon et al. 2016).</w:t>
      </w:r>
      <w:r>
        <w:t xml:space="preserve"> </w:t>
      </w:r>
      <w:r>
        <w:t xml:space="preserve">Based on</w:t>
      </w:r>
      <w:r>
        <w:t xml:space="preserve"> </w:t>
      </w:r>
      <w:hyperlink r:id="rId41">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Because first flush conditions were met on December 23, 2025, spawning is likely occurring,</w:t>
      </w:r>
      <w:r>
        <w:t xml:space="preserve"> </w:t>
      </w:r>
      <w:r>
        <w:t xml:space="preserve">consistent with the typical one- to four-week response window following increased</w:t>
      </w:r>
      <w:r>
        <w:t xml:space="preserve"> </w:t>
      </w:r>
      <w:r>
        <w:t xml:space="preserve">flow and turbidity. Survey captures at Chipps Island and the Sacramento Deep Water Ship Channel are consistent</w:t>
      </w:r>
      <w:r>
        <w:t xml:space="preserve"> </w:t>
      </w:r>
      <w:r>
        <w:t xml:space="preserve">with an upstream spawning migration into tidal freshwater habitats.</w:t>
      </w:r>
    </w:p>
    <w:p>
      <w:pPr>
        <w:numPr>
          <w:ilvl w:val="0"/>
          <w:numId w:val="1009"/>
        </w:numPr>
      </w:pPr>
      <w:r>
        <w:t xml:space="preserve">After the onset of spawning, have the following conditions occurred: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occur during the current assessment period, JPF is above 0 cfs</w:t>
      </w:r>
      <w:r>
        <w:t xml:space="preserve"> </w:t>
      </w:r>
      <w:r>
        <w:t xml:space="preserve">and average turbidity in the South Delta is low; therefore, the conditions required</w:t>
      </w:r>
      <w:r>
        <w:t xml:space="preserve"> </w:t>
      </w:r>
      <w:r>
        <w:t xml:space="preserve">to trigger larval and juvenile Delta smelt entrainment management are not met.</w:t>
      </w:r>
    </w:p>
    <w:bookmarkEnd w:id="42"/>
    <w:bookmarkEnd w:id="43"/>
    <w:bookmarkStart w:id="60" w:name="longfin-smelt"/>
    <w:p>
      <w:pPr>
        <w:pStyle w:val="Heading3"/>
      </w:pPr>
      <w:r>
        <w:t xml:space="preserve">Longfin smelt</w:t>
      </w:r>
    </w:p>
    <w:bookmarkStart w:id="54" w:name="biological-1"/>
    <w:p>
      <w:pPr>
        <w:pStyle w:val="Heading4"/>
      </w:pPr>
      <w:r>
        <w:t xml:space="preserve">Biological</w:t>
      </w:r>
    </w:p>
    <w:p>
      <w:pPr>
        <w:numPr>
          <w:ilvl w:val="0"/>
          <w:numId w:val="1010"/>
        </w:numPr>
      </w:pPr>
      <w:r>
        <w:rPr>
          <w:b/>
          <w:bCs/>
        </w:rPr>
        <w:t xml:space="preserve">Longfin smelt life stages:</w:t>
      </w:r>
      <w:r>
        <w:t xml:space="preserve"> </w:t>
      </w:r>
      <w:r>
        <w:t xml:space="preserve">Juvenile, Adult</w:t>
      </w:r>
    </w:p>
    <w:p>
      <w:pPr>
        <w:numPr>
          <w:ilvl w:val="0"/>
          <w:numId w:val="1010"/>
        </w:numPr>
      </w:pPr>
      <w:r>
        <w:rPr>
          <w:b/>
          <w:bCs/>
        </w:rPr>
        <w:t xml:space="preserve">Longfin smelt count:</w:t>
      </w:r>
      <w:r>
        <w:t xml:space="preserve"> </w:t>
      </w:r>
      <w:r>
        <w:t xml:space="preserve">354 adult, 683 juvenile, and 1300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2026-02-06</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2026-02-09</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2026-02-10</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8</w:t>
                  </w:r>
                </w:p>
              </w:tc>
            </w:tr>
            <w:tr>
              <w:tc>
                <w:tcPr/>
                <w:p>
                  <w:pPr>
                    <w:pStyle w:val="Compact"/>
                    <w:jc w:val="left"/>
                    <w:jc w:val="center"/>
                  </w:pPr>
                  <w:r>
                    <w:t xml:space="preserve">EDSM</w:t>
                  </w:r>
                </w:p>
              </w:tc>
              <w:tc>
                <w:tcPr/>
                <w:p>
                  <w:pPr>
                    <w:pStyle w:val="Compact"/>
                    <w:jc w:val="left"/>
                    <w:jc w:val="center"/>
                  </w:pPr>
                  <w:r>
                    <w:t xml:space="preserve">2026-02-10</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21</w:t>
                  </w:r>
                </w:p>
              </w:tc>
            </w:tr>
          </w:tbl>
          <w:bookmarkEnd w:id="44"/>
          <w:p/>
        </w:tc>
      </w:tr>
    </w:tbl>
    <w:tbl>
      <w:tblPr>
        <w:tblStyle w:val="Table"/>
        <w:tblW w:type="pct" w:w="5000"/>
        <w:tblLayout w:type="fixed"/>
        <w:tblLook w:firstRow="0" w:lastRow="0" w:firstColumn="0" w:lastColumn="0" w:noHBand="0" w:noVBand="0" w:val="0000"/>
      </w:tblPr>
      <w:tblGrid>
        <w:gridCol w:w="7920"/>
      </w:tblGrid>
      <w:tr>
        <w:tc>
          <w:tcPr/>
          <w:bookmarkStart w:id="48" w:name="fig-lfs-map"/>
          <w:p>
            <w:pPr>
              <w:pStyle w:val="Compact"/>
              <w:jc w:val="center"/>
            </w:pPr>
            <w:r>
              <w:drawing>
                <wp:inline>
                  <wp:extent cx="5943600" cy="5200649"/>
                  <wp:effectExtent b="0" l="0" r="0" t="0"/>
                  <wp:docPr descr="" title="" id="46" name="Picture"/>
                  <a:graphic>
                    <a:graphicData uri="http://schemas.openxmlformats.org/drawingml/2006/picture">
                      <pic:pic>
                        <pic:nvPicPr>
                          <pic:cNvPr descr="smt-assessment-v1_files/figure-docx/fig-lfs-map-1.png" id="47" name="Picture"/>
                          <pic:cNvPicPr>
                            <a:picLocks noChangeArrowheads="1" noChangeAspect="1"/>
                          </pic:cNvPicPr>
                        </pic:nvPicPr>
                        <pic:blipFill>
                          <a:blip r:embed="rId4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48"/>
        </w:tc>
      </w:tr>
    </w:tbl>
    <w:tbl>
      <w:tblPr>
        <w:tblStyle w:val="Table"/>
        <w:tblW w:type="pct" w:w="5000"/>
        <w:tblLayout w:type="fixed"/>
        <w:tblLook w:firstRow="0" w:lastRow="0" w:firstColumn="0" w:lastColumn="0" w:noHBand="0" w:noVBand="0" w:val="0000"/>
      </w:tblPr>
      <w:tblGrid>
        <w:gridCol w:w="7920"/>
      </w:tblGrid>
      <w:tr>
        <w:tc>
          <w:tcPr/>
          <w:bookmarkStart w:id="4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242</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18</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15</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61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80</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191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18</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28</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11</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906</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12</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18</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331</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22</w:t>
                  </w:r>
                </w:p>
              </w:tc>
            </w:tr>
          </w:tbl>
          <w:bookmarkEnd w:id="49"/>
          <w:p/>
        </w:tc>
      </w:tr>
    </w:tbl>
    <w:tbl>
      <w:tblPr>
        <w:tblStyle w:val="Table"/>
        <w:tblW w:type="pct" w:w="5000"/>
        <w:tblLayout w:type="fixed"/>
        <w:tblLook w:firstRow="0" w:lastRow="0" w:firstColumn="0" w:lastColumn="0" w:noHBand="0" w:noVBand="0" w:val="0000"/>
      </w:tblPr>
      <w:tblGrid>
        <w:gridCol w:w="7920"/>
      </w:tblGrid>
      <w:tr>
        <w:tc>
          <w:tcPr/>
          <w:bookmarkStart w:id="53" w:name="fig-lfs-catch"/>
          <w:p>
            <w:pPr>
              <w:pStyle w:val="Compact"/>
              <w:jc w:val="center"/>
            </w:pPr>
            <w:r>
              <w:drawing>
                <wp:inline>
                  <wp:extent cx="4576576" cy="3661261"/>
                  <wp:effectExtent b="0" l="0" r="0" t="0"/>
                  <wp:docPr descr="" title="" id="51" name="Picture"/>
                  <a:graphic>
                    <a:graphicData uri="http://schemas.openxmlformats.org/drawingml/2006/picture">
                      <pic:pic>
                        <pic:nvPicPr>
                          <pic:cNvPr descr="smt-assessment-v1_files/figure-docx/fig-lfs-catch-1.png" id="52" name="Picture"/>
                          <pic:cNvPicPr>
                            <a:picLocks noChangeArrowheads="1" noChangeAspect="1"/>
                          </pic:cNvPicPr>
                        </pic:nvPicPr>
                        <pic:blipFill>
                          <a:blip r:embed="rId5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3"/>
        </w:tc>
      </w:tr>
    </w:tbl>
    <w:bookmarkEnd w:id="54"/>
    <w:bookmarkStart w:id="58" w:name="real-time-assessment-thresholds-1"/>
    <w:p>
      <w:pPr>
        <w:pStyle w:val="Heading4"/>
      </w:pPr>
      <w:r>
        <w:t xml:space="preserve">Real-time Assessment Thresholds</w:t>
      </w:r>
    </w:p>
    <w:bookmarkStart w:id="55" w:name="X20cb4fe57c6f57bc33c1a6af910e71e88796402"/>
    <w:p>
      <w:pPr>
        <w:pStyle w:val="Heading5"/>
      </w:pPr>
      <w:r>
        <w:t xml:space="preserve">Start of Entrainment Management (Adult Longfin Smelt)</w:t>
      </w:r>
    </w:p>
    <w:p>
      <w:pPr>
        <w:pStyle w:val="Compact"/>
        <w:numPr>
          <w:ilvl w:val="0"/>
          <w:numId w:val="1011"/>
        </w:numPr>
      </w:pPr>
      <w:r>
        <w:t xml:space="preserve">Not relevant</w:t>
      </w:r>
    </w:p>
    <w:bookmarkEnd w:id="55"/>
    <w:bookmarkStart w:id="5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2,451 cfs as of Feb 12, 2026</w:t>
      </w:r>
    </w:p>
    <w:p>
      <w:pPr>
        <w:pStyle w:val="Compact"/>
        <w:numPr>
          <w:ilvl w:val="1"/>
          <w:numId w:val="1013"/>
        </w:numPr>
      </w:pPr>
      <w:r>
        <w:t xml:space="preserve">Adult abundance (Age 1+ LFS index): 2479.2 fish</w:t>
      </w:r>
    </w:p>
    <w:p>
      <w:pPr>
        <w:pStyle w:val="Compact"/>
        <w:numPr>
          <w:ilvl w:val="2"/>
          <w:numId w:val="1014"/>
        </w:numPr>
      </w:pPr>
      <w:r>
        <w:t xml:space="preserve">5% of abundance + 1: 125.0</w:t>
      </w:r>
    </w:p>
    <w:p>
      <w:pPr>
        <w:pStyle w:val="Compact"/>
        <w:numPr>
          <w:ilvl w:val="1"/>
          <w:numId w:val="1013"/>
        </w:numPr>
      </w:pPr>
      <w:r>
        <w:t xml:space="preserve">Water year total adult longfin smelt salvage = 0</w:t>
      </w:r>
    </w:p>
    <w:bookmarkEnd w:id="56"/>
    <w:bookmarkStart w:id="57" w:name="larvaljuvenile-longfin-smelt"/>
    <w:p>
      <w:pPr>
        <w:pStyle w:val="Heading5"/>
      </w:pPr>
      <w:r>
        <w:t xml:space="preserve">Larval/juvenile longfin smelt</w:t>
      </w:r>
    </w:p>
    <w:p>
      <w:pPr>
        <w:pStyle w:val="Compact"/>
        <w:numPr>
          <w:ilvl w:val="0"/>
          <w:numId w:val="1015"/>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6"/>
        </w:numPr>
      </w:pPr>
      <w:r>
        <w:t xml:space="preserve">Daily average JPF: 2,451 cfs as of Feb 12, 2026</w:t>
      </w:r>
    </w:p>
    <w:bookmarkEnd w:id="57"/>
    <w:bookmarkEnd w:id="58"/>
    <w:bookmarkStart w:id="59" w:name="evaluation-1"/>
    <w:p>
      <w:pPr>
        <w:pStyle w:val="Heading4"/>
      </w:pPr>
      <w:r>
        <w:t xml:space="preserve">Evaluation</w:t>
      </w:r>
    </w:p>
    <w:p>
      <w:pPr>
        <w:pStyle w:val="FirstParagraph"/>
      </w:pPr>
      <w:r>
        <w:rPr>
          <w:b/>
          <w:bCs/>
        </w:rPr>
        <w:t xml:space="preserve">Longfin smelt:</w:t>
      </w:r>
    </w:p>
    <w:p>
      <w:pPr>
        <w:numPr>
          <w:ilvl w:val="0"/>
          <w:numId w:val="1017"/>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&gt; 0 cfs and no adult longfin smelt have been detected in salvage.</w:t>
      </w:r>
    </w:p>
    <w:p>
      <w:pPr>
        <w:numPr>
          <w:ilvl w:val="0"/>
          <w:numId w:val="1017"/>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not less than 0 cfs and is not predicted to go below 0 cfs this week.</w:t>
      </w:r>
      <w:r>
        <w:t xml:space="preserve"> </w:t>
      </w:r>
      <w:r>
        <w:t xml:space="preserve">The Zone of Influence modeling indicates moderate differences in hydrodynamic</w:t>
      </w:r>
      <w:r>
        <w:t xml:space="preserve"> </w:t>
      </w:r>
      <w:r>
        <w:t xml:space="preserve">footprint across OMRI scenarios, with no change between current and forecasted conditions.</w:t>
      </w:r>
    </w:p>
    <w:p>
      <w:pPr>
        <w:numPr>
          <w:ilvl w:val="0"/>
          <w:numId w:val="1017"/>
        </w:numPr>
      </w:pPr>
      <w:r>
        <w:t xml:space="preserve">Is there additional information or other analyses that should be considered in this evaluation?</w:t>
      </w:r>
    </w:p>
    <w:p>
      <w:pPr>
        <w:numPr>
          <w:ilvl w:val="0"/>
          <w:numId w:val="1000"/>
        </w:numPr>
      </w:pPr>
      <w:r>
        <w:t xml:space="preserve">Additional information may be discussed if needed at the DAT call.</w:t>
      </w:r>
    </w:p>
    <w:bookmarkEnd w:id="59"/>
    <w:bookmarkEnd w:id="60"/>
    <w:bookmarkStart w:id="61" w:name="end-of-smelt-entrainment-management"/>
    <w:p>
      <w:pPr>
        <w:pStyle w:val="Heading3"/>
      </w:pPr>
      <w:r>
        <w:t xml:space="preserve">End of smelt Entrainment Management</w:t>
      </w:r>
    </w:p>
    <w:p>
      <w:pPr>
        <w:pStyle w:val="Compact"/>
        <w:numPr>
          <w:ilvl w:val="0"/>
          <w:numId w:val="1018"/>
        </w:numPr>
      </w:pPr>
      <w:r>
        <w:t xml:space="preserve">Not relevant</w:t>
      </w:r>
    </w:p>
    <w:bookmarkEnd w:id="61"/>
    <w:bookmarkStart w:id="66" w:name="references"/>
    <w:p>
      <w:pPr>
        <w:pStyle w:val="Heading3"/>
      </w:pPr>
      <w:r>
        <w:t xml:space="preserve">References</w:t>
      </w:r>
    </w:p>
    <w:bookmarkStart w:id="65" w:name="refs"/>
    <w:bookmarkStart w:id="62" w:name="ref-damon2016"/>
    <w:p>
      <w:pPr>
        <w:pStyle w:val="Bibliography"/>
      </w:pPr>
      <w:r>
        <w:t xml:space="preserve">Damon, L. J., Slater, S. B., Baxter, R. D., &amp; Fujimura, R. W. (2016). Fecundity and reproductive potential of wild female delta smelt in the upper san francisco estuary, california.</w:t>
      </w:r>
      <w:r>
        <w:t xml:space="preserve"> </w:t>
      </w:r>
      <w:r>
        <w:rPr>
          <w:i/>
          <w:iCs/>
        </w:rPr>
        <w:t xml:space="preserve">California Fish and Game</w:t>
      </w:r>
      <w:r>
        <w:t xml:space="preserve">,</w:t>
      </w:r>
      <w:r>
        <w:t xml:space="preserve"> </w:t>
      </w:r>
      <w:r>
        <w:rPr>
          <w:i/>
          <w:iCs/>
        </w:rPr>
        <w:t xml:space="preserve">102</w:t>
      </w:r>
      <w:r>
        <w:t xml:space="preserve">(4), 188–210.</w:t>
      </w:r>
    </w:p>
    <w:bookmarkEnd w:id="62"/>
    <w:bookmarkStart w:id="63" w:name="ref-grimaldo2009"/>
    <w:p>
      <w:pPr>
        <w:pStyle w:val="Bibliography"/>
      </w:pPr>
      <w:r>
        <w:t xml:space="preserve">Grimaldo, L. F., Sommer, T., Van Ark, N., Jones, G., Holland, E., Moyle, P. B., Herbold, B., &amp; Smith, P. (2009). Factors affecting fish entrainment into massive water diversions in a tidal freshwater estuary: Can fish losses be managed?</w:t>
      </w:r>
      <w:r>
        <w:t xml:space="preserve"> </w:t>
      </w:r>
      <w:r>
        <w:rPr>
          <w:i/>
          <w:iCs/>
        </w:rPr>
        <w:t xml:space="preserve">North American Journal of Fisheries Management</w:t>
      </w:r>
      <w:r>
        <w:t xml:space="preserve">,</w:t>
      </w:r>
      <w:r>
        <w:t xml:space="preserve"> </w:t>
      </w:r>
      <w:r>
        <w:rPr>
          <w:i/>
          <w:iCs/>
        </w:rPr>
        <w:t xml:space="preserve">29</w:t>
      </w:r>
      <w:r>
        <w:t xml:space="preserve">(5), 1253–1270.</w:t>
      </w:r>
    </w:p>
    <w:bookmarkEnd w:id="63"/>
    <w:bookmarkStart w:id="64" w:name="ref-sommer2011"/>
    <w:p>
      <w:pPr>
        <w:pStyle w:val="Bibliography"/>
      </w:pPr>
      <w:r>
        <w:t xml:space="preserve">Sommer, T., Mejia, F. H., Nobriga, M. L., Feyrer, F., &amp; Grimaldo, L. (2011). The spawning migration of delta smelt in the upper san francisco estuary.</w:t>
      </w:r>
      <w:r>
        <w:t xml:space="preserve"> </w:t>
      </w:r>
      <w:r>
        <w:rPr>
          <w:i/>
          <w:iCs/>
        </w:rPr>
        <w:t xml:space="preserve">San Francisco Estuary and Watershed Science</w:t>
      </w:r>
      <w:r>
        <w:t xml:space="preserve">,</w:t>
      </w:r>
      <w:r>
        <w:t xml:space="preserve"> </w:t>
      </w:r>
      <w:r>
        <w:rPr>
          <w:i/>
          <w:iCs/>
        </w:rPr>
        <w:t xml:space="preserve">9</w:t>
      </w:r>
      <w:r>
        <w:t xml:space="preserve">(2).</w:t>
      </w:r>
    </w:p>
    <w:bookmarkEnd w:id="64"/>
    <w:bookmarkEnd w:id="65"/>
    <w:bookmarkEnd w:id="66"/>
    <w:bookmarkEnd w:id="67"/>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25778032"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2026-02-17T13:55:29Z</dcterms:created>
  <dcterms:modified xsi:type="dcterms:W3CDTF">2026-02-17T13:55:29Z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