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38.png" ContentType="image/png"/>
  <Override PartName="/word/media/rId34.png" ContentType="image/png"/>
  <Override PartName="/word/media/rId3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6" w:name="X2de4376b67322785395bb9f8e898d3fb85783af"/>
    <w:p>
      <w:pPr>
        <w:pStyle w:val="Heading2"/>
      </w:pPr>
      <w:r>
        <w:t xml:space="preserve">PRELIMINARY DATA: Assessment for Delta Operations on ESA and CESA-listed Salmonids</w:t>
      </w:r>
    </w:p>
    <w:p>
      <w:pPr>
        <w:pStyle w:val="FirstParagraph"/>
      </w:pPr>
      <w:r>
        <w:t xml:space="preserve">Last updated:</w:t>
      </w:r>
      <w:r>
        <w:t xml:space="preserve"> </w:t>
      </w:r>
      <w:r>
        <w:rPr>
          <w:i/>
          <w:iCs/>
        </w:rPr>
        <w:t xml:space="preserve">January 06, 2026</w:t>
      </w:r>
    </w:p>
    <w:p>
      <w:pPr>
        <w:pStyle w:val="BodyText"/>
      </w:pPr>
      <w:r>
        <w:t xml:space="preserve">For more detailed data on salmonid conditions in the Delta see corresponding webpage on</w:t>
      </w:r>
      <w:r>
        <w:t xml:space="preserve"> </w:t>
      </w:r>
      <w:hyperlink r:id="rId20">
        <w:r>
          <w:rPr>
            <w:rStyle w:val="Hyperlink"/>
          </w:rPr>
          <w:t xml:space="preserve">SacPAS</w:t>
        </w:r>
      </w:hyperlink>
      <w:r>
        <w:t xml:space="preserve">.</w:t>
      </w:r>
    </w:p>
    <w:bookmarkStart w:id="21" w:name="executive-summary"/>
    <w:p>
      <w:pPr>
        <w:pStyle w:val="Heading3"/>
      </w:pPr>
      <w:r>
        <w:t xml:space="preserve">Executive Summary</w:t>
      </w:r>
    </w:p>
    <w:p>
      <w:pPr>
        <w:numPr>
          <w:ilvl w:val="0"/>
          <w:numId w:val="1001"/>
        </w:numPr>
      </w:pPr>
      <w:r>
        <w:t xml:space="preserve">Entrainment management season is not active at this time.</w:t>
      </w:r>
    </w:p>
    <w:p>
      <w:pPr>
        <w:numPr>
          <w:ilvl w:val="0"/>
          <w:numId w:val="1001"/>
        </w:numPr>
      </w:pPr>
      <w:r>
        <w:t xml:space="preserve">No salmonids have been salvaged this season.</w:t>
      </w:r>
    </w:p>
    <w:p>
      <w:pPr>
        <w:numPr>
          <w:ilvl w:val="0"/>
          <w:numId w:val="1001"/>
        </w:numPr>
      </w:pPr>
      <w:r>
        <w:t xml:space="preserve">Winter-run presence in the delta is high.</w:t>
      </w:r>
    </w:p>
    <w:bookmarkEnd w:id="21"/>
    <w:bookmarkStart w:id="43" w:name="natural-winter-run-chinook"/>
    <w:p>
      <w:pPr>
        <w:pStyle w:val="Heading3"/>
      </w:pPr>
      <w:r>
        <w:t xml:space="preserve">Natural Winter-run Chinook</w:t>
      </w:r>
    </w:p>
    <w:bookmarkStart w:id="22" w:name="juvenile-production-estimate"/>
    <w:p>
      <w:pPr>
        <w:pStyle w:val="Heading4"/>
      </w:pPr>
      <w:r>
        <w:t xml:space="preserve">Juvenile Production Estimate</w:t>
      </w:r>
    </w:p>
    <w:p>
      <w:pPr>
        <w:pStyle w:val="FirstParagraph"/>
      </w:pPr>
      <w:r>
        <w:t xml:space="preserve">The Juvenile Production Estimate for winter-run has not been established for the current water year.</w:t>
      </w:r>
    </w:p>
    <w:bookmarkEnd w:id="22"/>
    <w:bookmarkStart w:id="24" w:name="current-status"/>
    <w:p>
      <w:pPr>
        <w:pStyle w:val="Heading4"/>
      </w:pPr>
      <w:r>
        <w:t xml:space="preserve">Current Status</w:t>
      </w:r>
    </w:p>
    <w:p>
      <w:pPr>
        <w:pStyle w:val="FirstParagraph"/>
      </w:pPr>
      <w:r>
        <w:rPr>
          <w:i/>
          <w:iCs/>
        </w:rPr>
        <w:t xml:space="preserve">Entry Timing</w:t>
      </w:r>
      <w:r>
        <w:t xml:space="preserve"> </w:t>
      </w:r>
      <w:r>
        <w:t xml:space="preserve">- Historically, as of Jan 05, 70% of length-at-date (LAD) winter-run have entered the delta based on Knights Landing RST catch, 2% have exited the delta based on Chipps Island Trawl Catch, and 0% of DNA confirmed winter-run have been salvaged.</w:t>
      </w:r>
    </w:p>
    <w:tbl>
      <w:tblPr>
        <w:tblStyle w:val="Table"/>
        <w:tblW w:type="pct" w:w="5000"/>
        <w:tblLayout w:type="fixed"/>
        <w:tblLook w:firstRow="0" w:lastRow="0" w:firstColumn="0" w:lastColumn="0" w:noHBand="0" w:noVBand="0" w:val="0000"/>
      </w:tblPr>
      <w:tblGrid>
        <w:gridCol w:w="7920"/>
      </w:tblGrid>
      <w:tr>
        <w:tc>
          <w:tcPr/>
          <w:bookmarkStart w:id="23" w:name="tbl-wr_timing_table"/>
          <w:p>
            <w:pPr>
              <w:jc w:val="center"/>
            </w:pPr>
            <w:pPr>
              <w:jc w:val="start"/>
              <w:spacing w:before="200"/>
              <w:pStyle w:val="ImageCaption"/>
            </w:pPr>
            <w:r>
              <w:t xml:space="preserve">Table 1: Average Percent of annual emigrating population for unclipped LAD winter-run captured at the following locations and LAD and DNA confirmed winter-run salvaged at SWP and CVP Delta facilities for the past 10 years.</w:t>
            </w:r>
          </w:p>
          <w:tbl>
            <w:tblPr>
              <w:tblStyle w:val="Table"/>
              <w:tblW w:type="pct" w:w="5000"/>
              <w:tblLayout w:type="fixed"/>
              <w:tblLook w:firstRow="1" w:lastRow="0" w:firstColumn="0" w:lastColumn="0" w:noHBand="0" w:noVBand="0" w:val="0020"/>
            </w:tblPr>
            <w:tblGrid>
              <w:gridCol w:w="2484"/>
              <w:gridCol w:w="1242"/>
              <w:gridCol w:w="621"/>
              <w:gridCol w:w="1035"/>
              <w:gridCol w:w="1087"/>
              <w:gridCol w:w="1035"/>
              <w:gridCol w:w="414"/>
            </w:tblGrid>
            <w:tr>
              <w:trPr>
                <w:tblHeader w:val="on"/>
              </w:trPr>
              <w:tc>
                <w:tcPr/>
                <w:p>
                  <w:pPr>
                    <w:pStyle w:val="Compact"/>
                    <w:jc w:val="left"/>
                    <w:jc w:val="center"/>
                  </w:pPr>
                  <w:r>
                    <w:t xml:space="preserve">Species</w:t>
                  </w:r>
                </w:p>
              </w:tc>
              <w:tc>
                <w:tcPr/>
                <w:p>
                  <w:pPr>
                    <w:pStyle w:val="Compact"/>
                    <w:jc w:val="right"/>
                    <w:jc w:val="center"/>
                  </w:pPr>
                  <w:r>
                    <w:t xml:space="preserve">Red Bluff Diversion Dam</w:t>
                  </w:r>
                </w:p>
              </w:tc>
              <w:tc>
                <w:tcPr/>
                <w:p>
                  <w:pPr>
                    <w:pStyle w:val="Compact"/>
                    <w:jc w:val="right"/>
                    <w:jc w:val="center"/>
                  </w:pPr>
                  <w:r>
                    <w:t xml:space="preserve">Tisdale RST</w:t>
                  </w:r>
                </w:p>
              </w:tc>
              <w:tc>
                <w:tcPr/>
                <w:p>
                  <w:pPr>
                    <w:pStyle w:val="Compact"/>
                    <w:jc w:val="right"/>
                    <w:jc w:val="center"/>
                  </w:pPr>
                  <w:r>
                    <w:t xml:space="preserve">Knights Landing RST</w:t>
                  </w:r>
                </w:p>
              </w:tc>
              <w:tc>
                <w:tcPr/>
                <w:p>
                  <w:pPr>
                    <w:pStyle w:val="Compact"/>
                    <w:jc w:val="right"/>
                    <w:jc w:val="center"/>
                  </w:pPr>
                  <w:r>
                    <w:t xml:space="preserve">Sac Trawl (Sherwood)</w:t>
                  </w:r>
                </w:p>
              </w:tc>
              <w:tc>
                <w:tcPr/>
                <w:p>
                  <w:pPr>
                    <w:pStyle w:val="Compact"/>
                    <w:jc w:val="right"/>
                    <w:jc w:val="center"/>
                  </w:pPr>
                  <w:r>
                    <w:t xml:space="preserve">Chipps Island Trawl</w:t>
                  </w:r>
                </w:p>
              </w:tc>
              <w:tc>
                <w:tcPr/>
                <w:p>
                  <w:pPr>
                    <w:pStyle w:val="Compact"/>
                    <w:jc w:val="right"/>
                    <w:jc w:val="center"/>
                  </w:pPr>
                  <w:r>
                    <w:t xml:space="preserve">Salvage</w:t>
                  </w:r>
                </w:p>
              </w:tc>
            </w:tr>
            <w:tr>
              <w:tc>
                <w:tcPr/>
                <w:p>
                  <w:pPr>
                    <w:pStyle w:val="Compact"/>
                    <w:jc w:val="left"/>
                    <w:jc w:val="center"/>
                  </w:pPr>
                  <w:r>
                    <w:t xml:space="preserve">Chinook, LAD Winter-run, Unclipped</w:t>
                  </w:r>
                </w:p>
              </w:tc>
              <w:tc>
                <w:tcPr/>
                <w:p>
                  <w:pPr>
                    <w:pStyle w:val="Compact"/>
                    <w:jc w:val="right"/>
                    <w:jc w:val="center"/>
                  </w:pPr>
                  <w:r>
                    <w:t xml:space="preserve">97%</w:t>
                  </w:r>
                </w:p>
              </w:tc>
              <w:tc>
                <w:tcPr/>
                <w:p>
                  <w:pPr>
                    <w:pStyle w:val="Compact"/>
                    <w:jc w:val="right"/>
                    <w:jc w:val="center"/>
                  </w:pPr>
                  <w:r>
                    <w:t xml:space="preserve">72%</w:t>
                  </w:r>
                </w:p>
              </w:tc>
              <w:tc>
                <w:tcPr/>
                <w:p>
                  <w:pPr>
                    <w:pStyle w:val="Compact"/>
                    <w:jc w:val="right"/>
                    <w:jc w:val="center"/>
                  </w:pPr>
                  <w:r>
                    <w:t xml:space="preserve">70%</w:t>
                  </w:r>
                </w:p>
              </w:tc>
              <w:tc>
                <w:tcPr/>
                <w:p>
                  <w:pPr>
                    <w:pStyle w:val="Compact"/>
                    <w:jc w:val="right"/>
                    <w:jc w:val="center"/>
                  </w:pPr>
                  <w:r>
                    <w:t xml:space="preserve">38%</w:t>
                  </w:r>
                </w:p>
              </w:tc>
              <w:tc>
                <w:tcPr/>
                <w:p>
                  <w:pPr>
                    <w:pStyle w:val="Compact"/>
                    <w:jc w:val="right"/>
                    <w:jc w:val="center"/>
                  </w:pPr>
                  <w:r>
                    <w:t xml:space="preserve">2%</w:t>
                  </w:r>
                </w:p>
              </w:tc>
              <w:tc>
                <w:tcPr/>
                <w:p>
                  <w:pPr>
                    <w:pStyle w:val="Compact"/>
                    <w:jc w:val="right"/>
                    <w:jc w:val="center"/>
                  </w:pPr>
                  <w:r>
                    <w:t xml:space="preserve">10%</w:t>
                  </w:r>
                </w:p>
              </w:tc>
            </w:tr>
            <w:tr>
              <w:tc>
                <w:tcPr/>
                <w:p>
                  <w:pPr>
                    <w:pStyle w:val="Compact"/>
                    <w:jc w:val="left"/>
                    <w:jc w:val="center"/>
                  </w:pPr>
                  <w:r>
                    <w:t xml:space="preserve">Chinook, DNA Winter-run, Unclipped (Water Year)</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0%</w:t>
                  </w:r>
                </w:p>
              </w:tc>
            </w:tr>
          </w:tbl>
          <w:bookmarkEnd w:id="23"/>
          <w:p/>
        </w:tc>
      </w:tr>
    </w:tbl>
    <w:p>
      <w:pPr>
        <w:pStyle w:val="BodyText"/>
      </w:pPr>
      <w:r>
        <w:rPr>
          <w:i/>
          <w:iCs/>
        </w:rPr>
        <w:t xml:space="preserve">Red Bluff Diversion Dam Passage Estimate</w:t>
      </w:r>
      <w:r>
        <w:t xml:space="preserve"> </w:t>
      </w:r>
      <w:r>
        <w:t xml:space="preserve">- As of Dec 16 estimated passage to date of LAD winter run at Red Bluff Diversion is approximately 3.61 million fish. *</w:t>
      </w:r>
      <w:r>
        <w:t xml:space="preserve"> </w:t>
      </w:r>
      <w:r>
        <w:rPr>
          <w:i/>
          <w:iCs/>
        </w:rPr>
        <w:t xml:space="preserve">Note that outmigration timing overlaps with spring run migrating fish, and true winter-run abundance likely differs from these estimates.</w:t>
      </w:r>
    </w:p>
    <w:p>
      <w:pPr>
        <w:pStyle w:val="BodyText"/>
      </w:pPr>
      <w:r>
        <w:rPr>
          <w:i/>
          <w:iCs/>
        </w:rPr>
        <w:t xml:space="preserve">Delta Monitoring</w:t>
      </w:r>
      <w:r>
        <w:t xml:space="preserve"> </w:t>
      </w:r>
      <w:r>
        <w:t xml:space="preserve">- Total catch of LAD winter run at RSTs at Delta Entry (Tisdale, Knights Landing, Lower Sacramento River) between Dec 27 and Jan 04 is 114 individuals. Total catch at Sacramento Trawl and Beach Seines in the delta between Dec 23 and Jan 05 is 160 individuals. Total catch at Delta Exit at Chipps Island between Dec 23 and Jan 05 is 1 individuals.</w:t>
      </w:r>
    </w:p>
    <w:bookmarkEnd w:id="24"/>
    <w:bookmarkStart w:id="29" w:name="annual-loss"/>
    <w:p>
      <w:pPr>
        <w:pStyle w:val="Heading4"/>
      </w:pPr>
      <w:r>
        <w:t xml:space="preserve">Annual Loss</w:t>
      </w:r>
    </w:p>
    <w:p>
      <w:pPr>
        <w:pStyle w:val="FirstParagraph"/>
      </w:pPr>
      <w:r>
        <w:t xml:space="preserve">The Juvenile Production Estimate has not been established for the current water year so thresholds are absent or are included from the previous water year. As of January 05 cumulative loss of genetically confirmed winter-run is 0 or 0.00% of the annual loss threshold. Cumulative loss in the past 7 days has been 0.</w:t>
      </w:r>
    </w:p>
    <w:tbl>
      <w:tblPr>
        <w:tblStyle w:val="Table"/>
        <w:tblW w:type="pct" w:w="5000"/>
        <w:tblLayout w:type="fixed"/>
        <w:tblLook w:firstRow="0" w:lastRow="0" w:firstColumn="0" w:lastColumn="0" w:noHBand="0" w:noVBand="0" w:val="0000"/>
      </w:tblPr>
      <w:tblGrid>
        <w:gridCol w:w="7920"/>
      </w:tblGrid>
      <w:tr>
        <w:tc>
          <w:tcPr/>
          <w:bookmarkStart w:id="28" w:name="fig-wr_loss"/>
          <w:p>
            <w:pPr>
              <w:pStyle w:val="Compact"/>
              <w:jc w:val="center"/>
            </w:pPr>
            <w:r>
              <w:drawing>
                <wp:inline>
                  <wp:extent cx="4000500" cy="3429000"/>
                  <wp:effectExtent b="0" l="0" r="0" t="0"/>
                  <wp:docPr descr="" title="" id="26" name="Picture"/>
                  <a:graphic>
                    <a:graphicData uri="http://schemas.openxmlformats.org/drawingml/2006/picture">
                      <pic:pic>
                        <pic:nvPicPr>
                          <pic:cNvPr descr="samt-assessment-v1_files/figure-docx/fig-wr_loss-1.png" id="27" name="Picture"/>
                          <pic:cNvPicPr>
                            <a:picLocks noChangeArrowheads="1" noChangeAspect="1"/>
                          </pic:cNvPicPr>
                        </pic:nvPicPr>
                        <pic:blipFill>
                          <a:blip r:embed="rId25"/>
                          <a:stretch>
                            <a:fillRect/>
                          </a:stretch>
                        </pic:blipFill>
                        <pic:spPr bwMode="auto">
                          <a:xfrm>
                            <a:off x="0" y="0"/>
                            <a:ext cx="4000500" cy="3429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Cumulative loss of natural-origin winter-run for WY 2026. Cumulative loss is based on genetically confirmed winter-run captured in salvage or length-at-date winter-run in which genetic confirmation was unable to be obtained</w:t>
            </w:r>
          </w:p>
          <w:bookmarkEnd w:id="28"/>
        </w:tc>
      </w:tr>
    </w:tbl>
    <w:bookmarkEnd w:id="29"/>
    <w:bookmarkStart w:id="42" w:name="stars"/>
    <w:p>
      <w:pPr>
        <w:pStyle w:val="Heading4"/>
      </w:pPr>
      <w:r>
        <w:t xml:space="preserve">STARS</w:t>
      </w:r>
    </w:p>
    <w:p>
      <w:pPr>
        <w:pStyle w:val="FirstParagraph"/>
      </w:pPr>
      <w:r>
        <w:t xml:space="preserve">The Delta STARS Model is an individual-based simulation model that predicts survival, travel time, and routing of juvenile salmon migrating through the Sacramento–San Joaquin River Delta. This model gives insight into survival and routing patterns of winter-run based on most current conditions.</w:t>
      </w:r>
    </w:p>
    <w:p>
      <w:pPr>
        <w:pStyle w:val="BodyText"/>
      </w:pPr>
      <w:r>
        <w:t xml:space="preserve">As of January 05, overall through delta STARS estimated survival probability (with 80% credible intervals) is 0.72 (0.6-0.82) placing it in the 93rd percentile of historical STARS survival estimates for the month of January (WYs 2018-2025). STARS estimated routing and survival probabilities (with 80% credible intervals) into the interior delta are 0.02 (0.01-0.03) and 0.82 (0.73-0.9), respectively, corresponding to the 3rd and 96th percentiles of historical January estimates (WYs 2018-2025).</w:t>
      </w:r>
    </w:p>
    <w:tbl>
      <w:tblPr>
        <w:tblStyle w:val="Table"/>
        <w:tblW w:type="pct" w:w="5000"/>
        <w:tblLayout w:type="fixed"/>
        <w:tblLook w:firstRow="0" w:lastRow="0" w:firstColumn="0" w:lastColumn="0" w:noHBand="0" w:noVBand="0" w:val="0000"/>
      </w:tblPr>
      <w:tblGrid>
        <w:gridCol w:w="7920"/>
      </w:tblGrid>
      <w:tr>
        <w:tc>
          <w:tcPr/>
          <w:bookmarkStart w:id="33" w:name="fig-stars_survival"/>
          <w:p>
            <w:pPr>
              <w:pStyle w:val="Compact"/>
              <w:jc w:val="center"/>
            </w:pPr>
            <w:r>
              <w:drawing>
                <wp:inline>
                  <wp:extent cx="4000500" cy="2667000"/>
                  <wp:effectExtent b="0" l="0" r="0" t="0"/>
                  <wp:docPr descr="" title="" id="31" name="Picture"/>
                  <a:graphic>
                    <a:graphicData uri="http://schemas.openxmlformats.org/drawingml/2006/picture">
                      <pic:pic>
                        <pic:nvPicPr>
                          <pic:cNvPr descr="samt-assessment-v1_files/figure-docx/fig-stars_survival-1.png" id="32" name="Picture"/>
                          <pic:cNvPicPr>
                            <a:picLocks noChangeArrowheads="1" noChangeAspect="1"/>
                          </pic:cNvPicPr>
                        </pic:nvPicPr>
                        <pic:blipFill>
                          <a:blip r:embed="rId30"/>
                          <a:stretch>
                            <a:fillRect/>
                          </a:stretch>
                        </pic:blipFill>
                        <pic:spPr bwMode="auto">
                          <a:xfrm>
                            <a:off x="0" y="0"/>
                            <a:ext cx="40005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Estimated overall winter-run survival from Knights Landing to Chipps Island. Black line indicates the current water-year, and other colored lines correspond to past water years.</w:t>
            </w:r>
          </w:p>
          <w:bookmarkEnd w:id="33"/>
        </w:tc>
      </w:tr>
    </w:tbl>
    <w:tbl>
      <w:tblPr>
        <w:tblStyle w:val="Table"/>
        <w:tblW w:type="pct" w:w="5000"/>
        <w:tblLayout w:type="fixed"/>
        <w:tblLook w:firstRow="0" w:lastRow="0" w:firstColumn="0" w:lastColumn="0" w:noHBand="0" w:noVBand="0" w:val="0000"/>
      </w:tblPr>
      <w:tblGrid>
        <w:gridCol w:w="7920"/>
      </w:tblGrid>
      <w:tr>
        <w:tc>
          <w:tcPr/>
          <w:bookmarkStart w:id="37" w:name="fig-stars_id_survival"/>
          <w:p>
            <w:pPr>
              <w:pStyle w:val="Compact"/>
              <w:jc w:val="center"/>
            </w:pPr>
            <w:r>
              <w:drawing>
                <wp:inline>
                  <wp:extent cx="4000500" cy="2667000"/>
                  <wp:effectExtent b="0" l="0" r="0" t="0"/>
                  <wp:docPr descr="" title="" id="35" name="Picture"/>
                  <a:graphic>
                    <a:graphicData uri="http://schemas.openxmlformats.org/drawingml/2006/picture">
                      <pic:pic>
                        <pic:nvPicPr>
                          <pic:cNvPr descr="samt-assessment-v1_files/figure-docx/fig-stars_id_survival-1.png" id="36" name="Picture"/>
                          <pic:cNvPicPr>
                            <a:picLocks noChangeArrowheads="1" noChangeAspect="1"/>
                          </pic:cNvPicPr>
                        </pic:nvPicPr>
                        <pic:blipFill>
                          <a:blip r:embed="rId34"/>
                          <a:stretch>
                            <a:fillRect/>
                          </a:stretch>
                        </pic:blipFill>
                        <pic:spPr bwMode="auto">
                          <a:xfrm>
                            <a:off x="0" y="0"/>
                            <a:ext cx="40005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Estimated survival from Knights Landing to Chipps Island of simulate winter-run cohorts that route through the interior delta. Black line indicates the current water-year, and other colored lines correspond to past water years.</w:t>
            </w:r>
          </w:p>
          <w:bookmarkEnd w:id="37"/>
        </w:tc>
      </w:tr>
    </w:tbl>
    <w:tbl>
      <w:tblPr>
        <w:tblStyle w:val="Table"/>
        <w:tblW w:type="pct" w:w="5000"/>
        <w:tblLayout w:type="fixed"/>
        <w:tblLook w:firstRow="0" w:lastRow="0" w:firstColumn="0" w:lastColumn="0" w:noHBand="0" w:noVBand="0" w:val="0000"/>
      </w:tblPr>
      <w:tblGrid>
        <w:gridCol w:w="7920"/>
      </w:tblGrid>
      <w:tr>
        <w:tc>
          <w:tcPr/>
          <w:bookmarkStart w:id="41" w:name="fig-stars_id_routing"/>
          <w:p>
            <w:pPr>
              <w:pStyle w:val="Compact"/>
              <w:jc w:val="center"/>
            </w:pPr>
            <w:r>
              <w:drawing>
                <wp:inline>
                  <wp:extent cx="4000500" cy="2667000"/>
                  <wp:effectExtent b="0" l="0" r="0" t="0"/>
                  <wp:docPr descr="" title="" id="39" name="Picture"/>
                  <a:graphic>
                    <a:graphicData uri="http://schemas.openxmlformats.org/drawingml/2006/picture">
                      <pic:pic>
                        <pic:nvPicPr>
                          <pic:cNvPr descr="samt-assessment-v1_files/figure-docx/fig-stars_id_routing-1.png" id="40" name="Picture"/>
                          <pic:cNvPicPr>
                            <a:picLocks noChangeArrowheads="1" noChangeAspect="1"/>
                          </pic:cNvPicPr>
                        </pic:nvPicPr>
                        <pic:blipFill>
                          <a:blip r:embed="rId38"/>
                          <a:stretch>
                            <a:fillRect/>
                          </a:stretch>
                        </pic:blipFill>
                        <pic:spPr bwMode="auto">
                          <a:xfrm>
                            <a:off x="0" y="0"/>
                            <a:ext cx="40005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Estimated probability of winter-run routing into the interior delta. Black line indicates the current water-year, and other colored lines correspond to past water years.</w:t>
            </w:r>
          </w:p>
          <w:bookmarkEnd w:id="41"/>
        </w:tc>
      </w:tr>
    </w:tbl>
    <w:bookmarkEnd w:id="42"/>
    <w:bookmarkEnd w:id="43"/>
    <w:bookmarkStart w:id="47" w:name="hatchery-winter-run-chinook"/>
    <w:p>
      <w:pPr>
        <w:pStyle w:val="Heading3"/>
      </w:pPr>
      <w:r>
        <w:t xml:space="preserve">Hatchery Winter-run Chinook</w:t>
      </w:r>
    </w:p>
    <w:bookmarkStart w:id="44" w:name="hatchery-releases"/>
    <w:p>
      <w:pPr>
        <w:pStyle w:val="Heading4"/>
      </w:pPr>
      <w:r>
        <w:t xml:space="preserve">Hatchery Releases</w:t>
      </w:r>
    </w:p>
    <w:p>
      <w:pPr>
        <w:pStyle w:val="FirstParagraph"/>
      </w:pPr>
      <w:r>
        <w:t xml:space="preserve">To date, no winter-run Livingstone hatchery releases have occurred in WY 2026</w:t>
      </w:r>
    </w:p>
    <w:bookmarkEnd w:id="44"/>
    <w:bookmarkStart w:id="45" w:name="juvenile-production-estimate-1"/>
    <w:p>
      <w:pPr>
        <w:pStyle w:val="Heading4"/>
      </w:pPr>
      <w:r>
        <w:t xml:space="preserve">Juvenile Production Estimate</w:t>
      </w:r>
    </w:p>
    <w:p>
      <w:pPr>
        <w:pStyle w:val="FirstParagraph"/>
      </w:pPr>
      <w:r>
        <w:t xml:space="preserve">The Juvenile Production Estimate for Livingstone Stone hatchery winter-run has not been established for the current water year.</w:t>
      </w:r>
    </w:p>
    <w:bookmarkEnd w:id="45"/>
    <w:bookmarkStart w:id="46" w:name="annual-loss-1"/>
    <w:p>
      <w:pPr>
        <w:pStyle w:val="Heading4"/>
      </w:pPr>
      <w:r>
        <w:t xml:space="preserve">Annual Loss</w:t>
      </w:r>
    </w:p>
    <w:p>
      <w:pPr>
        <w:pStyle w:val="FirstParagraph"/>
      </w:pPr>
      <w:r>
        <w:t xml:space="preserve">The Juvenile Production Estimate has not been established for the current water year so thresholds are absent or are included from the previous water year. To date, no loss has occurred as no hatchery winter-run have been released.</w:t>
      </w:r>
    </w:p>
    <w:bookmarkEnd w:id="46"/>
    <w:bookmarkEnd w:id="47"/>
    <w:bookmarkStart w:id="55" w:name="natural-origin-central-valley-steelhead"/>
    <w:p>
      <w:pPr>
        <w:pStyle w:val="Heading3"/>
      </w:pPr>
      <w:r>
        <w:t xml:space="preserve">Natural-origin Central Valley Steelhead</w:t>
      </w:r>
    </w:p>
    <w:bookmarkStart w:id="49" w:name="current-status-1"/>
    <w:p>
      <w:pPr>
        <w:pStyle w:val="Heading4"/>
      </w:pPr>
      <w:r>
        <w:t xml:space="preserve">Current Status</w:t>
      </w:r>
    </w:p>
    <w:p>
      <w:pPr>
        <w:pStyle w:val="FirstParagraph"/>
      </w:pPr>
      <w:r>
        <w:rPr>
          <w:i/>
          <w:iCs/>
        </w:rPr>
        <w:t xml:space="preserve">Delta Entry Timing</w:t>
      </w:r>
      <w:r>
        <w:t xml:space="preserve"> </w:t>
      </w:r>
      <w:r>
        <w:t xml:space="preserve">- Historically, as of Jan 05, 7% of CCV steelhead have entered the delta based on Knights Landing RST catch, 1% have exited the delta based on Chipps Island Trawl Catch, and 4% have been salvaged.</w:t>
      </w:r>
    </w:p>
    <w:tbl>
      <w:tblPr>
        <w:tblStyle w:val="Table"/>
        <w:tblW w:type="pct" w:w="5000"/>
        <w:tblLayout w:type="fixed"/>
        <w:tblLook w:firstRow="0" w:lastRow="0" w:firstColumn="0" w:lastColumn="0" w:noHBand="0" w:noVBand="0" w:val="0000"/>
      </w:tblPr>
      <w:tblGrid>
        <w:gridCol w:w="7920"/>
      </w:tblGrid>
      <w:tr>
        <w:tc>
          <w:tcPr/>
          <w:bookmarkStart w:id="48" w:name="tbl-sh_timing_table"/>
          <w:p>
            <w:pPr>
              <w:jc w:val="center"/>
            </w:pPr>
            <w:pPr>
              <w:jc w:val="start"/>
              <w:spacing w:before="200"/>
              <w:pStyle w:val="ImageCaption"/>
            </w:pPr>
            <w:r>
              <w:t xml:space="preserve">Table 2: Average Percent of annual emigrating population for unclipped CCV steelhead captured at the following locations and salvaged at SWP and CVP Delta facilities for the past 10 years.</w:t>
            </w:r>
          </w:p>
          <w:tbl>
            <w:tblPr>
              <w:tblStyle w:val="Table"/>
              <w:tblW w:type="pct" w:w="5000"/>
              <w:tblLayout w:type="fixed"/>
              <w:tblLook w:firstRow="1" w:lastRow="0" w:firstColumn="0" w:lastColumn="0" w:noHBand="0" w:noVBand="0" w:val="0020"/>
            </w:tblPr>
            <w:tblGrid>
              <w:gridCol w:w="1320"/>
              <w:gridCol w:w="1508"/>
              <w:gridCol w:w="754"/>
              <w:gridCol w:w="1257"/>
              <w:gridCol w:w="1320"/>
              <w:gridCol w:w="1257"/>
              <w:gridCol w:w="502"/>
            </w:tblGrid>
            <w:tr>
              <w:trPr>
                <w:tblHeader w:val="on"/>
              </w:trPr>
              <w:tc>
                <w:tcPr/>
                <w:p>
                  <w:pPr>
                    <w:pStyle w:val="Compact"/>
                    <w:jc w:val="left"/>
                    <w:jc w:val="center"/>
                  </w:pPr>
                  <w:r>
                    <w:t xml:space="preserve">Species</w:t>
                  </w:r>
                </w:p>
              </w:tc>
              <w:tc>
                <w:tcPr/>
                <w:p>
                  <w:pPr>
                    <w:pStyle w:val="Compact"/>
                    <w:jc w:val="right"/>
                    <w:jc w:val="center"/>
                  </w:pPr>
                  <w:r>
                    <w:t xml:space="preserve">Red Bluff Diversion Dam</w:t>
                  </w:r>
                </w:p>
              </w:tc>
              <w:tc>
                <w:tcPr/>
                <w:p>
                  <w:pPr>
                    <w:pStyle w:val="Compact"/>
                    <w:jc w:val="right"/>
                    <w:jc w:val="center"/>
                  </w:pPr>
                  <w:r>
                    <w:t xml:space="preserve">Tisdale RST</w:t>
                  </w:r>
                </w:p>
              </w:tc>
              <w:tc>
                <w:tcPr/>
                <w:p>
                  <w:pPr>
                    <w:pStyle w:val="Compact"/>
                    <w:jc w:val="right"/>
                    <w:jc w:val="center"/>
                  </w:pPr>
                  <w:r>
                    <w:t xml:space="preserve">Knights Landing RST</w:t>
                  </w:r>
                </w:p>
              </w:tc>
              <w:tc>
                <w:tcPr/>
                <w:p>
                  <w:pPr>
                    <w:pStyle w:val="Compact"/>
                    <w:jc w:val="right"/>
                    <w:jc w:val="center"/>
                  </w:pPr>
                  <w:r>
                    <w:t xml:space="preserve">Sac Trawl (Sherwood)</w:t>
                  </w:r>
                </w:p>
              </w:tc>
              <w:tc>
                <w:tcPr/>
                <w:p>
                  <w:pPr>
                    <w:pStyle w:val="Compact"/>
                    <w:jc w:val="right"/>
                    <w:jc w:val="center"/>
                  </w:pPr>
                  <w:r>
                    <w:t xml:space="preserve">Chipps Island Trawl</w:t>
                  </w:r>
                </w:p>
              </w:tc>
              <w:tc>
                <w:tcPr/>
                <w:p>
                  <w:pPr>
                    <w:pStyle w:val="Compact"/>
                    <w:jc w:val="right"/>
                    <w:jc w:val="center"/>
                  </w:pPr>
                  <w:r>
                    <w:t xml:space="preserve">Salvage</w:t>
                  </w:r>
                </w:p>
              </w:tc>
            </w:tr>
            <w:tr>
              <w:tc>
                <w:tcPr/>
                <w:p>
                  <w:pPr>
                    <w:pStyle w:val="Compact"/>
                    <w:jc w:val="left"/>
                    <w:jc w:val="center"/>
                  </w:pPr>
                  <w:r>
                    <w:t xml:space="preserve">Steelhead, Unclipped</w:t>
                  </w:r>
                </w:p>
              </w:tc>
              <w:tc>
                <w:tcPr/>
                <w:p>
                  <w:pPr>
                    <w:pStyle w:val="Compact"/>
                    <w:jc w:val="right"/>
                    <w:jc w:val="center"/>
                  </w:pPr>
                  <w:r>
                    <w:t xml:space="preserve">0%</w:t>
                  </w:r>
                </w:p>
              </w:tc>
              <w:tc>
                <w:tcPr/>
                <w:p>
                  <w:pPr>
                    <w:pStyle w:val="Compact"/>
                    <w:jc w:val="right"/>
                    <w:jc w:val="center"/>
                  </w:pPr>
                  <w:r>
                    <w:t xml:space="preserve">3%</w:t>
                  </w:r>
                </w:p>
              </w:tc>
              <w:tc>
                <w:tcPr/>
                <w:p>
                  <w:pPr>
                    <w:pStyle w:val="Compact"/>
                    <w:jc w:val="right"/>
                    <w:jc w:val="center"/>
                  </w:pPr>
                  <w:r>
                    <w:t xml:space="preserve">7%</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4%</w:t>
                  </w:r>
                </w:p>
              </w:tc>
            </w:tr>
          </w:tbl>
          <w:bookmarkEnd w:id="48"/>
          <w:p/>
        </w:tc>
      </w:tr>
    </w:tbl>
    <w:p>
      <w:pPr>
        <w:pStyle w:val="BodyText"/>
      </w:pPr>
      <w:r>
        <w:rPr>
          <w:i/>
          <w:iCs/>
        </w:rPr>
        <w:t xml:space="preserve">Delta Monitoring</w:t>
      </w:r>
      <w:r>
        <w:t xml:space="preserve"> </w:t>
      </w:r>
      <w:r>
        <w:t xml:space="preserve">- Total catch of LAD winter run at RSTs at Delta Entry (Tisdale, Knights Landing, Lower Sacramento River) between Dec 27 and Jan 04 is 0 individuals. Total catch at Sacramento Trawl and Beach Seines in the delta between Dec 23 and Jan 05 is 0 individuals. Total catch at Delta Exit at Chipps Island between Dec 23 and Jan 05 is 0 individuals.</w:t>
      </w:r>
    </w:p>
    <w:bookmarkEnd w:id="49"/>
    <w:bookmarkStart w:id="54" w:name="annual-loss-2"/>
    <w:p>
      <w:pPr>
        <w:pStyle w:val="Heading4"/>
      </w:pPr>
      <w:r>
        <w:t xml:space="preserve">Annual Loss</w:t>
      </w:r>
    </w:p>
    <w:p>
      <w:pPr>
        <w:pStyle w:val="FirstParagraph"/>
      </w:pPr>
      <w:r>
        <w:t xml:space="preserve">As of January 05 cumulative loss of unclipped steelhead is 5.44 or 0.18% of the annual loss threshold. Cumulative loss in the past 7 days has been 2.72.</w:t>
      </w:r>
    </w:p>
    <w:tbl>
      <w:tblPr>
        <w:tblStyle w:val="Table"/>
        <w:tblW w:type="pct" w:w="5000"/>
        <w:tblLayout w:type="fixed"/>
        <w:tblLook w:firstRow="0" w:lastRow="0" w:firstColumn="0" w:lastColumn="0" w:noHBand="0" w:noVBand="0" w:val="0000"/>
      </w:tblPr>
      <w:tblGrid>
        <w:gridCol w:w="7920"/>
      </w:tblGrid>
      <w:tr>
        <w:tc>
          <w:tcPr/>
          <w:bookmarkStart w:id="53" w:name="fig-sh_loss"/>
          <w:p>
            <w:pPr>
              <w:pStyle w:val="Compact"/>
              <w:jc w:val="center"/>
            </w:pPr>
            <w:r>
              <w:drawing>
                <wp:inline>
                  <wp:extent cx="4000500" cy="3429000"/>
                  <wp:effectExtent b="0" l="0" r="0" t="0"/>
                  <wp:docPr descr="" title="" id="51" name="Picture"/>
                  <a:graphic>
                    <a:graphicData uri="http://schemas.openxmlformats.org/drawingml/2006/picture">
                      <pic:pic>
                        <pic:nvPicPr>
                          <pic:cNvPr descr="samt-assessment-v1_files/figure-docx/fig-sh_loss-1.png" id="52" name="Picture"/>
                          <pic:cNvPicPr>
                            <a:picLocks noChangeArrowheads="1" noChangeAspect="1"/>
                          </pic:cNvPicPr>
                        </pic:nvPicPr>
                        <pic:blipFill>
                          <a:blip r:embed="rId50"/>
                          <a:stretch>
                            <a:fillRect/>
                          </a:stretch>
                        </pic:blipFill>
                        <pic:spPr bwMode="auto">
                          <a:xfrm>
                            <a:off x="0" y="0"/>
                            <a:ext cx="4000500" cy="3429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Cumulative loss of natural-origin and hatchery steelhead for WY 2026.</w:t>
            </w:r>
          </w:p>
          <w:bookmarkEnd w:id="53"/>
        </w:tc>
      </w:tr>
    </w:tbl>
    <w:bookmarkEnd w:id="54"/>
    <w:bookmarkEnd w:id="55"/>
    <w:bookmarkStart w:id="58" w:name="hatchery-origin-central-valley-steelhead"/>
    <w:p>
      <w:pPr>
        <w:pStyle w:val="Heading3"/>
      </w:pPr>
      <w:r>
        <w:t xml:space="preserve">Hatchery-origin Central Valley Steelhead</w:t>
      </w:r>
    </w:p>
    <w:bookmarkStart w:id="57" w:name="surrogate-releases"/>
    <w:p>
      <w:pPr>
        <w:pStyle w:val="Heading4"/>
      </w:pPr>
      <w:r>
        <w:t xml:space="preserve">Surrogate Releases</w:t>
      </w:r>
    </w:p>
    <w:p>
      <w:pPr>
        <w:pStyle w:val="FirstParagraph"/>
      </w:pPr>
      <w:r>
        <w:t xml:space="preserve">There have been a total of 2 releases totaling 878,848 steelhead in Water Year 2026. JPE for the hatchery releases as of today is 356,526 based on estimated survivals using forecasted water year types (see details in table below). The annual loss threshold, equal to 1% of the JPE, is currently 3565, but is subject to change with additional steelhead releases. Total loss of hatchery-origin steelhead is 24.48 or 0.69% of the threshold. *Note that hatchery origin of salvaged fish can not be determined at this time and salvage is based on the assumption of similar routing and survival probabilities of individual hatchery releases.</w:t>
      </w:r>
    </w:p>
    <w:tbl>
      <w:tblPr>
        <w:tblStyle w:val="Table"/>
        <w:tblW w:type="pct" w:w="5000"/>
        <w:tblLayout w:type="fixed"/>
        <w:tblLook w:firstRow="0" w:lastRow="0" w:firstColumn="0" w:lastColumn="0" w:noHBand="0" w:noVBand="0" w:val="0000"/>
      </w:tblPr>
      <w:tblGrid>
        <w:gridCol w:w="7920"/>
      </w:tblGrid>
      <w:tr>
        <w:tc>
          <w:tcPr/>
          <w:bookmarkStart w:id="56" w:name="tbl-sh_clipped_table"/>
          <w:p>
            <w:pPr>
              <w:jc w:val="center"/>
            </w:pPr>
            <w:pPr>
              <w:jc w:val="start"/>
              <w:spacing w:before="200"/>
              <w:pStyle w:val="ImageCaption"/>
            </w:pPr>
            <w:r>
              <w:t xml:space="preserve">Table 3: Summary of steelhead hatchery releases in Water Year 2026</w:t>
            </w:r>
          </w:p>
          <w:tbl>
            <w:tblPr>
              <w:tblStyle w:val="Table"/>
              <w:tblW w:type="pct" w:w="5000"/>
              <w:tblLayout w:type="fixed"/>
              <w:tblLook w:firstRow="1" w:lastRow="0" w:firstColumn="0" w:lastColumn="0" w:noHBand="0" w:noVBand="0" w:val="0020"/>
            </w:tblPr>
            <w:tblGrid>
              <w:gridCol w:w="642"/>
              <w:gridCol w:w="1141"/>
              <w:gridCol w:w="1569"/>
              <w:gridCol w:w="1141"/>
              <w:gridCol w:w="1355"/>
              <w:gridCol w:w="2069"/>
            </w:tblGrid>
            <w:tr>
              <w:trPr>
                <w:tblHeader w:val="on"/>
              </w:trPr>
              <w:tc>
                <w:tcPr/>
                <w:p>
                  <w:pPr>
                    <w:pStyle w:val="Compact"/>
                    <w:jc w:val="left"/>
                    <w:jc w:val="center"/>
                  </w:pPr>
                  <w:r>
                    <w:t xml:space="preserve">Hatchery</w:t>
                  </w:r>
                </w:p>
              </w:tc>
              <w:tc>
                <w:tcPr/>
                <w:p>
                  <w:pPr>
                    <w:pStyle w:val="Compact"/>
                    <w:jc w:val="right"/>
                    <w:jc w:val="center"/>
                  </w:pPr>
                  <w:r>
                    <w:t xml:space="preserve">Date of Release</w:t>
                  </w:r>
                </w:p>
              </w:tc>
              <w:tc>
                <w:tcPr/>
                <w:p>
                  <w:pPr>
                    <w:pStyle w:val="Compact"/>
                    <w:jc w:val="right"/>
                    <w:jc w:val="center"/>
                  </w:pPr>
                  <w:r>
                    <w:t xml:space="preserve">Mean Fork Length (mm)</w:t>
                  </w:r>
                </w:p>
              </w:tc>
              <w:tc>
                <w:tcPr/>
                <w:p>
                  <w:pPr>
                    <w:pStyle w:val="Compact"/>
                    <w:jc w:val="right"/>
                    <w:jc w:val="center"/>
                  </w:pPr>
                  <w:r>
                    <w:t xml:space="preserve">Number Released</w:t>
                  </w:r>
                </w:p>
              </w:tc>
              <w:tc>
                <w:tcPr/>
                <w:p>
                  <w:pPr>
                    <w:pStyle w:val="Compact"/>
                    <w:jc w:val="right"/>
                    <w:jc w:val="center"/>
                  </w:pPr>
                  <w:r>
                    <w:t xml:space="preserve">Estimated Survival</w:t>
                  </w:r>
                </w:p>
              </w:tc>
              <w:tc>
                <w:tcPr/>
                <w:p>
                  <w:pPr>
                    <w:pStyle w:val="Compact"/>
                    <w:jc w:val="right"/>
                    <w:jc w:val="center"/>
                  </w:pPr>
                  <w:r>
                    <w:t xml:space="preserve">Juvenile Production Estimate</w:t>
                  </w:r>
                </w:p>
              </w:tc>
            </w:tr>
            <w:tr>
              <w:tc>
                <w:tcPr/>
                <w:p>
                  <w:pPr>
                    <w:pStyle w:val="Compact"/>
                    <w:jc w:val="left"/>
                    <w:jc w:val="center"/>
                  </w:pPr>
                  <w:r>
                    <w:t xml:space="preserve">Nimbus</w:t>
                  </w:r>
                </w:p>
              </w:tc>
              <w:tc>
                <w:tcPr/>
                <w:p>
                  <w:pPr>
                    <w:pStyle w:val="Compact"/>
                    <w:jc w:val="right"/>
                    <w:jc w:val="center"/>
                  </w:pPr>
                  <w:r>
                    <w:t xml:space="preserve">2025-11-02</w:t>
                  </w:r>
                </w:p>
              </w:tc>
              <w:tc>
                <w:tcPr/>
                <w:p>
                  <w:pPr>
                    <w:pStyle w:val="Compact"/>
                    <w:jc w:val="right"/>
                    <w:jc w:val="center"/>
                  </w:pPr>
                  <w:r>
                    <w:t xml:space="preserve">223</w:t>
                  </w:r>
                </w:p>
              </w:tc>
              <w:tc>
                <w:tcPr/>
                <w:p>
                  <w:pPr>
                    <w:pStyle w:val="Compact"/>
                    <w:jc w:val="right"/>
                    <w:jc w:val="center"/>
                  </w:pPr>
                  <w:r>
                    <w:t xml:space="preserve">233,109</w:t>
                  </w:r>
                </w:p>
              </w:tc>
              <w:tc>
                <w:tcPr/>
                <w:p>
                  <w:pPr>
                    <w:pStyle w:val="Compact"/>
                    <w:jc w:val="right"/>
                    <w:jc w:val="center"/>
                  </w:pPr>
                  <w:r>
                    <w:t xml:space="preserve">72%</w:t>
                  </w:r>
                </w:p>
              </w:tc>
              <w:tc>
                <w:tcPr/>
                <w:p>
                  <w:pPr>
                    <w:pStyle w:val="Compact"/>
                    <w:jc w:val="right"/>
                    <w:jc w:val="center"/>
                  </w:pPr>
                  <w:r>
                    <w:t xml:space="preserve">167,838</w:t>
                  </w:r>
                </w:p>
              </w:tc>
            </w:tr>
            <w:tr>
              <w:tc>
                <w:tcPr/>
                <w:p>
                  <w:pPr>
                    <w:pStyle w:val="Compact"/>
                    <w:jc w:val="left"/>
                    <w:jc w:val="center"/>
                  </w:pPr>
                  <w:r>
                    <w:t xml:space="preserve">Coleman</w:t>
                  </w:r>
                </w:p>
              </w:tc>
              <w:tc>
                <w:tcPr/>
                <w:p>
                  <w:pPr>
                    <w:pStyle w:val="Compact"/>
                    <w:jc w:val="right"/>
                    <w:jc w:val="center"/>
                  </w:pPr>
                  <w:r>
                    <w:t xml:space="preserve">2025-12-19</w:t>
                  </w:r>
                </w:p>
              </w:tc>
              <w:tc>
                <w:tcPr/>
                <w:p>
                  <w:pPr>
                    <w:pStyle w:val="Compact"/>
                    <w:jc w:val="right"/>
                    <w:jc w:val="center"/>
                  </w:pPr>
                  <w:r>
                    <w:t xml:space="preserve">195</w:t>
                  </w:r>
                </w:p>
              </w:tc>
              <w:tc>
                <w:tcPr/>
                <w:p>
                  <w:pPr>
                    <w:pStyle w:val="Compact"/>
                    <w:jc w:val="right"/>
                    <w:jc w:val="center"/>
                  </w:pPr>
                  <w:r>
                    <w:t xml:space="preserve">645,739</w:t>
                  </w:r>
                </w:p>
              </w:tc>
              <w:tc>
                <w:tcPr/>
                <w:p>
                  <w:pPr>
                    <w:pStyle w:val="Compact"/>
                    <w:jc w:val="right"/>
                    <w:jc w:val="center"/>
                  </w:pPr>
                  <w:r>
                    <w:t xml:space="preserve">29%</w:t>
                  </w:r>
                </w:p>
              </w:tc>
              <w:tc>
                <w:tcPr/>
                <w:p>
                  <w:pPr>
                    <w:pStyle w:val="Compact"/>
                    <w:jc w:val="right"/>
                    <w:jc w:val="center"/>
                  </w:pPr>
                  <w:r>
                    <w:t xml:space="preserve">188,688</w:t>
                  </w:r>
                </w:p>
              </w:tc>
            </w:tr>
          </w:tbl>
          <w:bookmarkEnd w:id="56"/>
          <w:p/>
        </w:tc>
      </w:tr>
    </w:tbl>
    <w:bookmarkEnd w:id="57"/>
    <w:bookmarkEnd w:id="58"/>
    <w:bookmarkStart w:id="63" w:name="spring-run"/>
    <w:p>
      <w:pPr>
        <w:pStyle w:val="Heading3"/>
      </w:pPr>
      <w:r>
        <w:t xml:space="preserve">Spring-run</w:t>
      </w:r>
    </w:p>
    <w:bookmarkStart w:id="60" w:name="current-status-2"/>
    <w:p>
      <w:pPr>
        <w:pStyle w:val="Heading4"/>
      </w:pPr>
      <w:r>
        <w:t xml:space="preserve">Current Status</w:t>
      </w:r>
    </w:p>
    <w:p>
      <w:pPr>
        <w:pStyle w:val="FirstParagraph"/>
      </w:pPr>
      <w:r>
        <w:rPr>
          <w:i/>
          <w:iCs/>
        </w:rPr>
        <w:t xml:space="preserve">Delta Entry Timing</w:t>
      </w:r>
      <w:r>
        <w:t xml:space="preserve">- Historically, as of Jan 05, 24% of LAD spring run have entered the delta based on Knights Landing RST catch, 0% have exited the delta based on Chipps Island Trawl Catch, and 0% have been salvaged.</w:t>
      </w:r>
    </w:p>
    <w:tbl>
      <w:tblPr>
        <w:tblStyle w:val="Table"/>
        <w:tblW w:type="pct" w:w="5000"/>
        <w:tblLayout w:type="fixed"/>
        <w:tblLook w:firstRow="0" w:lastRow="0" w:firstColumn="0" w:lastColumn="0" w:noHBand="0" w:noVBand="0" w:val="0000"/>
      </w:tblPr>
      <w:tblGrid>
        <w:gridCol w:w="7920"/>
      </w:tblGrid>
      <w:tr>
        <w:tc>
          <w:tcPr/>
          <w:bookmarkStart w:id="59" w:name="tbl-sr_timing_table"/>
          <w:p>
            <w:pPr>
              <w:jc w:val="center"/>
            </w:pPr>
            <w:pPr>
              <w:jc w:val="start"/>
              <w:spacing w:before="200"/>
              <w:pStyle w:val="ImageCaption"/>
            </w:pPr>
            <w:r>
              <w:t xml:space="preserve">Table 4: Average Percent of annual emigrating population for LAD Spring-run Chinook Salmon captured at the following locations and salvaged at SWP and CVP Delta facilities for the past 10 years.</w:t>
            </w:r>
          </w:p>
          <w:tbl>
            <w:tblPr>
              <w:tblStyle w:val="Table"/>
              <w:tblW w:type="pct" w:w="5000"/>
              <w:tblLayout w:type="fixed"/>
              <w:tblLook w:firstRow="1" w:lastRow="0" w:firstColumn="0" w:lastColumn="0" w:noHBand="0" w:noVBand="0" w:val="0020"/>
            </w:tblPr>
            <w:tblGrid>
              <w:gridCol w:w="1980"/>
              <w:gridCol w:w="1357"/>
              <w:gridCol w:w="678"/>
              <w:gridCol w:w="1131"/>
              <w:gridCol w:w="1188"/>
              <w:gridCol w:w="1131"/>
              <w:gridCol w:w="452"/>
            </w:tblGrid>
            <w:tr>
              <w:trPr>
                <w:tblHeader w:val="on"/>
              </w:trPr>
              <w:tc>
                <w:tcPr/>
                <w:p>
                  <w:pPr>
                    <w:pStyle w:val="Compact"/>
                    <w:jc w:val="left"/>
                    <w:jc w:val="center"/>
                  </w:pPr>
                  <w:r>
                    <w:t xml:space="preserve">Species</w:t>
                  </w:r>
                </w:p>
              </w:tc>
              <w:tc>
                <w:tcPr/>
                <w:p>
                  <w:pPr>
                    <w:pStyle w:val="Compact"/>
                    <w:jc w:val="right"/>
                    <w:jc w:val="center"/>
                  </w:pPr>
                  <w:r>
                    <w:t xml:space="preserve">Red Bluff Diversion Dam</w:t>
                  </w:r>
                </w:p>
              </w:tc>
              <w:tc>
                <w:tcPr/>
                <w:p>
                  <w:pPr>
                    <w:pStyle w:val="Compact"/>
                    <w:jc w:val="right"/>
                    <w:jc w:val="center"/>
                  </w:pPr>
                  <w:r>
                    <w:t xml:space="preserve">Tisdale RST</w:t>
                  </w:r>
                </w:p>
              </w:tc>
              <w:tc>
                <w:tcPr/>
                <w:p>
                  <w:pPr>
                    <w:pStyle w:val="Compact"/>
                    <w:jc w:val="right"/>
                    <w:jc w:val="center"/>
                  </w:pPr>
                  <w:r>
                    <w:t xml:space="preserve">Knights Landing RST</w:t>
                  </w:r>
                </w:p>
              </w:tc>
              <w:tc>
                <w:tcPr/>
                <w:p>
                  <w:pPr>
                    <w:pStyle w:val="Compact"/>
                    <w:jc w:val="right"/>
                    <w:jc w:val="center"/>
                  </w:pPr>
                  <w:r>
                    <w:t xml:space="preserve">Sac Trawl (Sherwood)</w:t>
                  </w:r>
                </w:p>
              </w:tc>
              <w:tc>
                <w:tcPr/>
                <w:p>
                  <w:pPr>
                    <w:pStyle w:val="Compact"/>
                    <w:jc w:val="right"/>
                    <w:jc w:val="center"/>
                  </w:pPr>
                  <w:r>
                    <w:t xml:space="preserve">Chipps Island Trawl</w:t>
                  </w:r>
                </w:p>
              </w:tc>
              <w:tc>
                <w:tcPr/>
                <w:p>
                  <w:pPr>
                    <w:pStyle w:val="Compact"/>
                    <w:jc w:val="right"/>
                    <w:jc w:val="center"/>
                  </w:pPr>
                  <w:r>
                    <w:t xml:space="preserve">Salvage</w:t>
                  </w:r>
                </w:p>
              </w:tc>
            </w:tr>
            <w:tr>
              <w:tc>
                <w:tcPr/>
                <w:p>
                  <w:pPr>
                    <w:pStyle w:val="Compact"/>
                    <w:jc w:val="left"/>
                    <w:jc w:val="center"/>
                  </w:pPr>
                  <w:r>
                    <w:t xml:space="preserve">Chinook, LAD Spring-run, Unclipped</w:t>
                  </w:r>
                </w:p>
              </w:tc>
              <w:tc>
                <w:tcPr/>
                <w:p>
                  <w:pPr>
                    <w:pStyle w:val="Compact"/>
                    <w:jc w:val="right"/>
                    <w:jc w:val="center"/>
                  </w:pPr>
                  <w:r>
                    <w:t xml:space="preserve">12%</w:t>
                  </w:r>
                </w:p>
              </w:tc>
              <w:tc>
                <w:tcPr/>
                <w:p>
                  <w:pPr>
                    <w:pStyle w:val="Compact"/>
                    <w:jc w:val="right"/>
                    <w:jc w:val="center"/>
                  </w:pPr>
                  <w:r>
                    <w:t xml:space="preserve">12%</w:t>
                  </w:r>
                </w:p>
              </w:tc>
              <w:tc>
                <w:tcPr/>
                <w:p>
                  <w:pPr>
                    <w:pStyle w:val="Compact"/>
                    <w:jc w:val="right"/>
                    <w:jc w:val="center"/>
                  </w:pPr>
                  <w:r>
                    <w:t xml:space="preserve">24%</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0%</w:t>
                  </w:r>
                </w:p>
              </w:tc>
            </w:tr>
          </w:tbl>
          <w:bookmarkEnd w:id="59"/>
          <w:p/>
        </w:tc>
      </w:tr>
    </w:tbl>
    <w:p>
      <w:pPr>
        <w:pStyle w:val="BodyText"/>
      </w:pPr>
      <w:r>
        <w:rPr>
          <w:i/>
          <w:iCs/>
        </w:rPr>
        <w:t xml:space="preserve">Red Bluff Diversion Dam Passage Estimate</w:t>
      </w:r>
      <w:r>
        <w:t xml:space="preserve"> </w:t>
      </w:r>
      <w:r>
        <w:t xml:space="preserve">- As of Dec 16 estimated passage to date of LAD spring run at Red Bluff Diversion is approximately 0.01 million fish. *</w:t>
      </w:r>
      <w:r>
        <w:t xml:space="preserve"> </w:t>
      </w:r>
      <w:r>
        <w:rPr>
          <w:i/>
          <w:iCs/>
        </w:rPr>
        <w:t xml:space="preserve">Note that outmigration timing overlaps with winter run and fall run outmigration, and true spring run abundance likely differs from these estimates.</w:t>
      </w:r>
    </w:p>
    <w:p>
      <w:pPr>
        <w:pStyle w:val="BodyText"/>
      </w:pPr>
      <w:r>
        <w:rPr>
          <w:i/>
          <w:iCs/>
        </w:rPr>
        <w:t xml:space="preserve">Delta Monitoring</w:t>
      </w:r>
      <w:r>
        <w:t xml:space="preserve">- Total catch of LAD winter run at RSTs at Delta Entry (Tisdale, Knights Landing, Lower Sacramento River) between Dec 27 and Jan 04 is 118 individuals. Total catch at Sacramento Trawl and Beach Seines in the delta between Dec 23 and Jan 05 is 0 individuals. Total catch at Delta Exit at Chipps Island between Dec 23 and Jan 05 is 0 individuals.</w:t>
      </w:r>
    </w:p>
    <w:bookmarkEnd w:id="60"/>
    <w:bookmarkStart w:id="62" w:name="surrogate-releases-1"/>
    <w:p>
      <w:pPr>
        <w:pStyle w:val="Heading4"/>
      </w:pPr>
      <w:r>
        <w:t xml:space="preserve">Surrogate Releases</w:t>
      </w:r>
    </w:p>
    <w:p>
      <w:pPr>
        <w:pStyle w:val="FirstParagraph"/>
      </w:pPr>
      <w:r>
        <w:t xml:space="preserve">A total of 135,992 yearling surrogate fish have been released across 2 releases and a total of 0 young-of-year surrogate fish have been released across 0 releases. See details in table below.</w:t>
      </w:r>
    </w:p>
    <w:tbl>
      <w:tblPr>
        <w:tblStyle w:val="Table"/>
        <w:tblW w:type="pct" w:w="5000"/>
        <w:tblLayout w:type="fixed"/>
        <w:tblLook w:firstRow="0" w:lastRow="0" w:firstColumn="0" w:lastColumn="0" w:noHBand="0" w:noVBand="0" w:val="0000"/>
      </w:tblPr>
      <w:tblGrid>
        <w:gridCol w:w="7920"/>
      </w:tblGrid>
      <w:tr>
        <w:tc>
          <w:tcPr/>
          <w:bookmarkStart w:id="61" w:name="tbl-sr_surrogate_table"/>
          <w:p>
            <w:pPr>
              <w:jc w:val="center"/>
            </w:pPr>
            <w:pPr>
              <w:jc w:val="start"/>
              <w:spacing w:before="200"/>
              <w:pStyle w:val="ImageCaption"/>
            </w:pPr>
            <w:r>
              <w:t xml:space="preserve">Table 5: Spring-run Chinook Salmon Hatchery Surrogate Summary Table.</w:t>
            </w:r>
          </w:p>
          <w:tbl>
            <w:tblPr>
              <w:tblStyle w:val="Table"/>
              <w:tblW w:type="pct" w:w="5000"/>
              <w:tblLayout w:type="fixed"/>
              <w:tblLook w:firstRow="1" w:lastRow="0" w:firstColumn="0" w:lastColumn="0" w:noHBand="0" w:noVBand="0" w:val="0020"/>
            </w:tblPr>
            <w:tblGrid>
              <w:gridCol w:w="516"/>
              <w:gridCol w:w="688"/>
              <w:gridCol w:w="803"/>
              <w:gridCol w:w="688"/>
              <w:gridCol w:w="573"/>
              <w:gridCol w:w="1320"/>
              <w:gridCol w:w="2066"/>
              <w:gridCol w:w="1262"/>
            </w:tblGrid>
            <w:tr>
              <w:trPr>
                <w:tblHeader w:val="on"/>
              </w:trPr>
              <w:tc>
                <w:tcPr/>
                <w:p>
                  <w:pPr>
                    <w:pStyle w:val="Compact"/>
                    <w:jc w:val="left"/>
                    <w:jc w:val="center"/>
                  </w:pPr>
                  <w:r>
                    <w:t xml:space="preserve">Type</w:t>
                  </w:r>
                </w:p>
              </w:tc>
              <w:tc>
                <w:tcPr/>
                <w:p>
                  <w:pPr>
                    <w:pStyle w:val="Compact"/>
                    <w:jc w:val="right"/>
                    <w:jc w:val="center"/>
                  </w:pPr>
                  <w:r>
                    <w:t xml:space="preserve">Hatchery</w:t>
                  </w:r>
                </w:p>
              </w:tc>
              <w:tc>
                <w:tcPr/>
                <w:p>
                  <w:pPr>
                    <w:pStyle w:val="Compact"/>
                    <w:jc w:val="right"/>
                    <w:jc w:val="center"/>
                  </w:pPr>
                  <w:r>
                    <w:t xml:space="preserve">Release Start</w:t>
                  </w:r>
                </w:p>
              </w:tc>
              <w:tc>
                <w:tcPr/>
                <w:p>
                  <w:pPr>
                    <w:pStyle w:val="Compact"/>
                    <w:jc w:val="right"/>
                    <w:jc w:val="center"/>
                  </w:pPr>
                  <w:r>
                    <w:t xml:space="preserve">Release End</w:t>
                  </w:r>
                </w:p>
              </w:tc>
              <w:tc>
                <w:tcPr/>
                <w:p>
                  <w:pPr>
                    <w:pStyle w:val="Compact"/>
                    <w:jc w:val="right"/>
                    <w:jc w:val="center"/>
                  </w:pPr>
                  <w:r>
                    <w:t xml:space="preserve">Race</w:t>
                  </w:r>
                </w:p>
              </w:tc>
              <w:tc>
                <w:tcPr/>
                <w:p>
                  <w:pPr>
                    <w:pStyle w:val="Compact"/>
                    <w:jc w:val="right"/>
                    <w:jc w:val="center"/>
                  </w:pPr>
                  <w:r>
                    <w:t xml:space="preserve"># of CWT Fish Released</w:t>
                  </w:r>
                </w:p>
              </w:tc>
              <w:tc>
                <w:tcPr/>
                <w:p>
                  <w:pPr>
                    <w:pStyle w:val="Compact"/>
                    <w:jc w:val="right"/>
                    <w:jc w:val="center"/>
                  </w:pPr>
                  <w:r>
                    <w:t xml:space="preserve">Loss Threshold (1% of CWT Released)</w:t>
                  </w:r>
                </w:p>
              </w:tc>
              <w:tc>
                <w:tcPr/>
                <w:p>
                  <w:pPr>
                    <w:pStyle w:val="Compact"/>
                    <w:jc w:val="right"/>
                    <w:jc w:val="center"/>
                  </w:pPr>
                  <w:r>
                    <w:t xml:space="preserve">Loss (% of threshold)</w:t>
                  </w:r>
                </w:p>
              </w:tc>
            </w:tr>
            <w:tr>
              <w:tc>
                <w:tcPr/>
                <w:p>
                  <w:pPr>
                    <w:pStyle w:val="Compact"/>
                    <w:jc w:val="left"/>
                    <w:jc w:val="center"/>
                  </w:pPr>
                  <w:r>
                    <w:t xml:space="preserve">Yearling</w:t>
                  </w:r>
                </w:p>
              </w:tc>
              <w:tc>
                <w:tcPr/>
                <w:p>
                  <w:pPr>
                    <w:pStyle w:val="Compact"/>
                    <w:jc w:val="right"/>
                    <w:jc w:val="center"/>
                  </w:pPr>
                  <w:r>
                    <w:t xml:space="preserve">Coleman NFH</w:t>
                  </w:r>
                </w:p>
              </w:tc>
              <w:tc>
                <w:tcPr/>
                <w:p>
                  <w:pPr>
                    <w:pStyle w:val="Compact"/>
                    <w:jc w:val="right"/>
                    <w:jc w:val="center"/>
                  </w:pPr>
                  <w:r>
                    <w:t xml:space="preserve">2025-11-17</w:t>
                  </w:r>
                </w:p>
              </w:tc>
              <w:tc>
                <w:tcPr/>
                <w:p>
                  <w:pPr>
                    <w:pStyle w:val="Compact"/>
                    <w:jc w:val="right"/>
                    <w:jc w:val="center"/>
                  </w:pPr>
                  <w:r>
                    <w:t xml:space="preserve">2025-11-17</w:t>
                  </w:r>
                </w:p>
              </w:tc>
              <w:tc>
                <w:tcPr/>
                <w:p>
                  <w:pPr>
                    <w:pStyle w:val="Compact"/>
                    <w:jc w:val="right"/>
                    <w:jc w:val="center"/>
                  </w:pPr>
                  <w:r>
                    <w:t xml:space="preserve">Late-Fall</w:t>
                  </w:r>
                </w:p>
              </w:tc>
              <w:tc>
                <w:tcPr/>
                <w:p>
                  <w:pPr>
                    <w:pStyle w:val="Compact"/>
                    <w:jc w:val="right"/>
                    <w:jc w:val="center"/>
                  </w:pPr>
                  <w:r>
                    <w:t xml:space="preserve">75119</w:t>
                  </w:r>
                </w:p>
              </w:tc>
              <w:tc>
                <w:tcPr/>
                <w:p>
                  <w:pPr>
                    <w:pStyle w:val="Compact"/>
                    <w:jc w:val="right"/>
                    <w:jc w:val="center"/>
                  </w:pPr>
                  <w:r>
                    <w:t xml:space="preserve">751.19</w:t>
                  </w:r>
                </w:p>
              </w:tc>
              <w:tc>
                <w:tcPr/>
                <w:p>
                  <w:pPr>
                    <w:pStyle w:val="Compact"/>
                    <w:jc w:val="right"/>
                    <w:jc w:val="center"/>
                  </w:pPr>
                  <w:r>
                    <w:t xml:space="preserve">0 (0.00%)</w:t>
                  </w:r>
                </w:p>
              </w:tc>
            </w:tr>
            <w:tr>
              <w:tc>
                <w:tcPr/>
                <w:p>
                  <w:pPr>
                    <w:pStyle w:val="Compact"/>
                    <w:jc w:val="left"/>
                    <w:jc w:val="center"/>
                  </w:pPr>
                  <w:r>
                    <w:t xml:space="preserve">Yearling</w:t>
                  </w:r>
                </w:p>
              </w:tc>
              <w:tc>
                <w:tcPr/>
                <w:p>
                  <w:pPr>
                    <w:pStyle w:val="Compact"/>
                    <w:jc w:val="right"/>
                    <w:jc w:val="center"/>
                  </w:pPr>
                  <w:r>
                    <w:t xml:space="preserve">Coleman NFH</w:t>
                  </w:r>
                </w:p>
              </w:tc>
              <w:tc>
                <w:tcPr/>
                <w:p>
                  <w:pPr>
                    <w:pStyle w:val="Compact"/>
                    <w:jc w:val="right"/>
                    <w:jc w:val="center"/>
                  </w:pPr>
                  <w:r>
                    <w:t xml:space="preserve">2025-12-22</w:t>
                  </w:r>
                </w:p>
              </w:tc>
              <w:tc>
                <w:tcPr/>
                <w:p>
                  <w:pPr>
                    <w:pStyle w:val="Compact"/>
                    <w:jc w:val="right"/>
                    <w:jc w:val="center"/>
                  </w:pPr>
                  <w:r>
                    <w:t xml:space="preserve">2025-12-22</w:t>
                  </w:r>
                </w:p>
              </w:tc>
              <w:tc>
                <w:tcPr/>
                <w:p>
                  <w:pPr>
                    <w:pStyle w:val="Compact"/>
                    <w:jc w:val="right"/>
                    <w:jc w:val="center"/>
                  </w:pPr>
                  <w:r>
                    <w:t xml:space="preserve">Late-Fall</w:t>
                  </w:r>
                </w:p>
              </w:tc>
              <w:tc>
                <w:tcPr/>
                <w:p>
                  <w:pPr>
                    <w:pStyle w:val="Compact"/>
                    <w:jc w:val="right"/>
                    <w:jc w:val="center"/>
                  </w:pPr>
                  <w:r>
                    <w:t xml:space="preserve">60873</w:t>
                  </w:r>
                </w:p>
              </w:tc>
              <w:tc>
                <w:tcPr/>
                <w:p>
                  <w:pPr>
                    <w:pStyle w:val="Compact"/>
                    <w:jc w:val="right"/>
                    <w:jc w:val="center"/>
                  </w:pPr>
                  <w:r>
                    <w:t xml:space="preserve">608.73</w:t>
                  </w:r>
                </w:p>
              </w:tc>
              <w:tc>
                <w:tcPr/>
                <w:p>
                  <w:pPr>
                    <w:pStyle w:val="Compact"/>
                    <w:jc w:val="right"/>
                    <w:jc w:val="center"/>
                  </w:pPr>
                  <w:r>
                    <w:t xml:space="preserve">11.53 (0.02%)</w:t>
                  </w:r>
                </w:p>
              </w:tc>
            </w:tr>
          </w:tbl>
          <w:bookmarkEnd w:id="61"/>
          <w:p/>
        </w:tc>
      </w:tr>
    </w:tbl>
    <w:bookmarkEnd w:id="62"/>
    <w:bookmarkEnd w:id="63"/>
    <w:bookmarkStart w:id="64" w:name="evaluation"/>
    <w:p>
      <w:pPr>
        <w:pStyle w:val="Heading3"/>
      </w:pPr>
      <w:r>
        <w:t xml:space="preserve">Evaluation</w:t>
      </w:r>
    </w:p>
    <w:p>
      <w:pPr>
        <w:numPr>
          <w:ilvl w:val="0"/>
          <w:numId w:val="1002"/>
        </w:numPr>
      </w:pPr>
      <w:r>
        <w:rPr>
          <w:b/>
          <w:bCs/>
        </w:rPr>
        <w:t xml:space="preserve">What is the probability of exceeding natural or hatchery winter-run Chinook Salmon loss thresholds in the upcoming week?</w:t>
      </w:r>
    </w:p>
    <w:p>
      <w:pPr>
        <w:numPr>
          <w:ilvl w:val="0"/>
          <w:numId w:val="1002"/>
        </w:numPr>
      </w:pPr>
      <w:r>
        <w:rPr>
          <w:b/>
          <w:bCs/>
        </w:rPr>
        <w:t xml:space="preserve">What is the probability of spring-run hatchery Chinook Salmon loss thresholds in the upcoming week?</w:t>
      </w:r>
    </w:p>
    <w:p>
      <w:pPr>
        <w:numPr>
          <w:ilvl w:val="0"/>
          <w:numId w:val="1002"/>
        </w:numPr>
      </w:pPr>
      <w:r>
        <w:rPr>
          <w:b/>
          <w:bCs/>
        </w:rPr>
        <w:t xml:space="preserve">What is the probability of spring-run hatchery Chinook Salmon loss thresholds in the upcoming week?</w:t>
      </w:r>
    </w:p>
    <w:bookmarkEnd w:id="64"/>
    <w:bookmarkStart w:id="65" w:name="references"/>
    <w:p>
      <w:pPr>
        <w:pStyle w:val="Heading3"/>
      </w:pPr>
      <w:r>
        <w:t xml:space="preserve">References</w:t>
      </w:r>
    </w:p>
    <w:bookmarkEnd w:id="65"/>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0" Target="media/rId50.png" /><Relationship Type="http://schemas.openxmlformats.org/officeDocument/2006/relationships/image" Id="rId38" Target="media/rId38.png" /><Relationship Type="http://schemas.openxmlformats.org/officeDocument/2006/relationships/image" Id="rId34" Target="media/rId34.png" /><Relationship Type="http://schemas.openxmlformats.org/officeDocument/2006/relationships/image" Id="rId30" Target="media/rId30.png" /><Relationship Type="http://schemas.openxmlformats.org/officeDocument/2006/relationships/image" Id="rId25" Target="media/rId25.png" /><Relationship Type="http://schemas.openxmlformats.org/officeDocument/2006/relationships/hyperlink" Id="rId20" Target="https://www.cbr.washington.edu/sacramento/workgroups/salmon_monitoring.html" TargetMode="External" /></Relationships>
</file>

<file path=word/_rels/footnotes.xml.rels><?xml version="1.0" encoding="UTF-8"?><Relationships xmlns="http://schemas.openxmlformats.org/package/2006/relationships"><Relationship Type="http://schemas.openxmlformats.org/officeDocument/2006/relationships/hyperlink" Id="rId20" Target="https://www.cbr.washington.edu/sacramento/workgroups/salmon_monitoring.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2026-01-06T21:58:42Z</dcterms:created>
  <dcterms:modified xsi:type="dcterms:W3CDTF">2026-01-06T21:58:42Z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