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25.png" ContentType="image/png"/>
  <Override PartName="/word/media/rId5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April 21, 2026</w:t>
      </w:r>
    </w:p>
    <w:bookmarkStart w:id="20" w:name="executive-summary"/>
    <w:p>
      <w:pPr>
        <w:pStyle w:val="Heading3"/>
      </w:pPr>
      <w:r>
        <w:t xml:space="preserve">Executive Summary</w:t>
      </w:r>
    </w:p>
    <w:p>
      <w:pPr>
        <w:pStyle w:val="Compact"/>
        <w:numPr>
          <w:ilvl w:val="0"/>
          <w:numId w:val="1001"/>
        </w:numPr>
      </w:pPr>
      <w:r>
        <w:t xml:space="preserve">Delta smelt were most recently detected at Suisun Marsh.</w:t>
      </w:r>
    </w:p>
    <w:p>
      <w:pPr>
        <w:pStyle w:val="Compact"/>
        <w:numPr>
          <w:ilvl w:val="0"/>
          <w:numId w:val="1001"/>
        </w:numPr>
      </w:pPr>
      <w:r>
        <w:t xml:space="preserve">No longfin smelt salvage has been observed this water year.</w:t>
      </w:r>
    </w:p>
    <w:p>
      <w:pPr>
        <w:pStyle w:val="Compact"/>
        <w:numPr>
          <w:ilvl w:val="0"/>
          <w:numId w:val="1001"/>
        </w:numPr>
      </w:pPr>
      <w:r>
        <w:t xml:space="preserve">Turbidity in the central/south Delta is low.</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 detected in surveys:</w:t>
      </w:r>
    </w:p>
    <w:p>
      <w:pPr>
        <w:numPr>
          <w:ilvl w:val="0"/>
          <w:numId w:val="1003"/>
        </w:numPr>
      </w:pPr>
      <w:r>
        <w:rPr>
          <w:b/>
          <w:bCs/>
        </w:rPr>
        <w:t xml:space="preserve">Abundance estimate:</w:t>
      </w:r>
      <w:r>
        <w:t xml:space="preserve"> </w:t>
      </w:r>
      <w:r>
        <w:t xml:space="preserve">2034 (95% CL: 162 to 8,959) as of the week of March 23–27,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44 adult Delta smelt and 30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has been salvaged, and the cumulative seasonal salvage is 4.</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943600" cy="52006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40</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29</w:t>
                  </w:r>
                </w:p>
              </w:tc>
            </w:tr>
            <w:tr>
              <w:tc>
                <w:tcPr/>
                <w:p>
                  <w:pPr>
                    <w:pStyle w:val="Compact"/>
                    <w:jc w:val="left"/>
                    <w:jc w:val="center"/>
                  </w:pPr>
                  <w:r>
                    <w:t xml:space="preserve">salvage</w:t>
                  </w:r>
                </w:p>
              </w:tc>
              <w:tc>
                <w:tcPr/>
                <w:p>
                  <w:pPr>
                    <w:pStyle w:val="Compact"/>
                    <w:jc w:val="left"/>
                    <w:jc w:val="center"/>
                  </w:pPr>
                  <w:r>
                    <w:t xml:space="preserve">South</w:t>
                  </w:r>
                </w:p>
              </w:tc>
              <w:tc>
                <w:tcPr/>
                <w:p>
                  <w:pPr>
                    <w:pStyle w:val="Compact"/>
                    <w:jc w:val="left"/>
                    <w:jc w:val="center"/>
                  </w:pPr>
                  <w:r>
                    <w:t xml:space="preserve">Adult</w:t>
                  </w:r>
                </w:p>
              </w:tc>
              <w:tc>
                <w:tcPr/>
                <w:p>
                  <w:pPr>
                    <w:pStyle w:val="Compact"/>
                    <w:jc w:val="right"/>
                    <w:jc w:val="center"/>
                  </w:pPr>
                  <w:r>
                    <w:t xml:space="preserve">1</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Implemented 12/25/25-01/7/26</w:t>
      </w:r>
    </w:p>
    <w:bookmarkEnd w:id="35"/>
    <w:bookmarkEnd w:id="36"/>
    <w:bookmarkStart w:id="40" w:name="real-time-assessment-thresholds"/>
    <w:p>
      <w:pPr>
        <w:pStyle w:val="Heading4"/>
      </w:pPr>
      <w:r>
        <w:t xml:space="preserve">Real-time Assessment Thresholds</w:t>
      </w:r>
    </w:p>
    <w:bookmarkStart w:id="38" w:name="adult-delta-smelt"/>
    <w:p>
      <w:pPr>
        <w:pStyle w:val="Heading5"/>
      </w:pPr>
      <w:r>
        <w:t xml:space="preserve">Adult Delta smelt</w:t>
      </w:r>
    </w:p>
    <w:p>
      <w:pPr>
        <w:numPr>
          <w:ilvl w:val="0"/>
          <w:numId w:val="1006"/>
        </w:numPr>
      </w:pPr>
      <w:r>
        <w:t xml:space="preserve">Adult Delta smelt action offramped on 02/12/2026</w:t>
      </w:r>
    </w:p>
    <w:p>
      <w:pPr>
        <w:numPr>
          <w:ilvl w:val="0"/>
          <w:numId w:val="1006"/>
        </w:numPr>
      </w:pPr>
      <w:r>
        <w:t xml:space="preserve">No adult Delta smelt action was taken in WY26</w:t>
      </w:r>
    </w:p>
    <w:p>
      <w:pPr>
        <w:pStyle w:val="Compact"/>
        <w:numPr>
          <w:ilvl w:val="0"/>
          <w:numId w:val="1007"/>
        </w:numPr>
      </w:pPr>
      <w:r>
        <w:t xml:space="preserve">See</w:t>
      </w:r>
      <w:r>
        <w:t xml:space="preserve"> </w:t>
      </w:r>
      <w:hyperlink r:id="rId37">
        <w:r>
          <w:rPr>
            <w:rStyle w:val="Hyperlink"/>
          </w:rPr>
          <w:t xml:space="preserve">Bay-Delta Live</w:t>
        </w:r>
      </w:hyperlink>
      <w:r>
        <w:t xml:space="preserve"> </w:t>
      </w:r>
      <w:r>
        <w:t xml:space="preserve">for recent Delta-wide turbidity conditions.</w:t>
      </w:r>
      <w:r>
        <w:t xml:space="preserve"> </w:t>
      </w:r>
    </w:p>
    <w:bookmarkEnd w:id="38"/>
    <w:bookmarkStart w:id="39"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8"/>
        </w:numPr>
      </w:pPr>
      <w:r>
        <w:rPr>
          <w:b/>
          <w:bCs/>
        </w:rPr>
        <w:t xml:space="preserve">12-station South Delta Turbidity</w:t>
      </w:r>
      <w:r>
        <w:t xml:space="preserve">: The most recent average turbidity was 3.4 FNU as of Apr 14, 2026</w:t>
      </w:r>
    </w:p>
    <w:bookmarkEnd w:id="39"/>
    <w:bookmarkEnd w:id="40"/>
    <w:bookmarkStart w:id="42" w:name="evaluation"/>
    <w:p>
      <w:pPr>
        <w:pStyle w:val="Heading4"/>
      </w:pPr>
      <w:r>
        <w:t xml:space="preserve">Evaluation</w:t>
      </w:r>
    </w:p>
    <w:p>
      <w:pPr>
        <w:pStyle w:val="FirstParagraph"/>
      </w:pPr>
      <w:r>
        <w:rPr>
          <w:b/>
          <w:bCs/>
        </w:rPr>
        <w:t xml:space="preserve">Delta smelt:</w:t>
      </w:r>
    </w:p>
    <w:p>
      <w:pPr>
        <w:numPr>
          <w:ilvl w:val="0"/>
          <w:numId w:val="1009"/>
        </w:numPr>
      </w:pPr>
      <w:r>
        <w:t xml:space="preserve">After the start of entrainment management, is JPF &lt; 0, is daily average turbidity ≥ 12 FNU in the OMR corridor (stations OBI, HOL, and OSJ)? 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The adult Delta smelt entrainment action is not active and no action was taken in WY26.</w:t>
      </w:r>
      <w:r>
        <w:t xml:space="preserve"> </w:t>
      </w:r>
      <w:r>
        <w:t xml:space="preserve">Temperature at Jersey Point exceeded the threshold on February 12th, 2025. Jersey</w:t>
      </w:r>
      <w:r>
        <w:t xml:space="preserve"> </w:t>
      </w:r>
      <w:r>
        <w:t xml:space="preserve">Point 3-day average temperature was 12.05°C on February 10th, 12.09°C on February 11th,</w:t>
      </w:r>
      <w:r>
        <w:t xml:space="preserve"> </w:t>
      </w:r>
      <w:r>
        <w:t xml:space="preserve">and 12.13°C on February 12th.</w:t>
      </w:r>
    </w:p>
    <w:p>
      <w:pPr>
        <w:numPr>
          <w:ilvl w:val="0"/>
          <w:numId w:val="1009"/>
        </w:numPr>
      </w:pPr>
      <w:r>
        <w:t xml:space="preserve">What is the evidence for the onset of Delta smelt spawning?</w:t>
      </w:r>
    </w:p>
    <w:p>
      <w:pPr>
        <w:numPr>
          <w:ilvl w:val="0"/>
          <w:numId w:val="1000"/>
        </w:numPr>
      </w:pPr>
      <w:r>
        <w:t xml:space="preserve">Upstream migration for Delta smelt occurs between December and March and in response</w:t>
      </w:r>
      <w:r>
        <w:t xml:space="preserve"> </w:t>
      </w:r>
      <w:r>
        <w:t xml:space="preserve">to</w:t>
      </w:r>
      <w:r>
        <w:t xml:space="preserve"> </w:t>
      </w:r>
      <w:r>
        <w:t xml:space="preserve">“first flush”</w:t>
      </w:r>
      <w:r>
        <w:t xml:space="preserve"> </w:t>
      </w:r>
      <w:r>
        <w:t xml:space="preserve">conditions (Sommer et al., 2011; Grimaldo et al. 2009; 2021). Historically, detections</w:t>
      </w:r>
      <w:r>
        <w:t xml:space="preserve"> </w:t>
      </w:r>
      <w:r>
        <w:t xml:space="preserve">of ripe Delta smelt began in January and peaked in February and March and</w:t>
      </w:r>
      <w:r>
        <w:t xml:space="preserve"> </w:t>
      </w:r>
      <w:r>
        <w:t xml:space="preserve">the majority of Delta Smelt spawning occurs at 11-15˚C (but can occur from 8-18˚C) (Damon et al. 2016).</w:t>
      </w:r>
      <w:r>
        <w:t xml:space="preserve"> </w:t>
      </w:r>
      <w:r>
        <w:t xml:space="preserve">Based on</w:t>
      </w:r>
      <w:r>
        <w:t xml:space="preserve"> </w:t>
      </w:r>
      <w:hyperlink r:id="rId41">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The large majority of Delta smelt recaptures continue to be from Suisun Marsh, close to</w:t>
      </w:r>
      <w:r>
        <w:t xml:space="preserve"> </w:t>
      </w:r>
      <w:r>
        <w:t xml:space="preserve">where supplemental fish were released in the fall. Spawning is likely completed due to increased water temperatures.</w:t>
      </w:r>
    </w:p>
    <w:p>
      <w:pPr>
        <w:numPr>
          <w:ilvl w:val="0"/>
          <w:numId w:val="1009"/>
        </w:numPr>
      </w:pPr>
      <w:r>
        <w:t xml:space="preserve">After the onset of spawning, have the following conditions occurred: JPF &lt; 0 cfs, average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JPF is projected to remain positive for the week and the most recent 11-station average turbidity in the</w:t>
      </w:r>
      <w:r>
        <w:t xml:space="preserve"> </w:t>
      </w:r>
      <w:r>
        <w:t xml:space="preserve">South Delta was 3.4 FNU on April 14, 2026 (station 918 could not be sampled due to bridge clearance issues). Because JPF is positive and turbidity conditions remain</w:t>
      </w:r>
      <w:r>
        <w:t xml:space="preserve"> </w:t>
      </w:r>
      <w:r>
        <w:t xml:space="preserve">below the ≥12 FNU threshold, the conditions required to initiate the larval and juvenile Delta smelt entrainment action are not met.</w:t>
      </w:r>
    </w:p>
    <w:p>
      <w:pPr>
        <w:numPr>
          <w:ilvl w:val="0"/>
          <w:numId w:val="1000"/>
        </w:numPr>
      </w:pPr>
      <w:r>
        <w:t xml:space="preserve">Additionally, PTM modeling does not meet the criteria for initiating the action. No Delta smelt larvae have been captured in SLS or 20-mm surveys to date in</w:t>
      </w:r>
      <w:r>
        <w:t xml:space="preserve"> </w:t>
      </w:r>
      <w:r>
        <w:t xml:space="preserve">WY2026. PTM results for this week for neutrally buoyant particles injected at Chipps Island (using the most recent adult detections as a proxy</w:t>
      </w:r>
      <w:r>
        <w:t xml:space="preserve"> </w:t>
      </w:r>
      <w:r>
        <w:t xml:space="preserve">for potential larval locations) showed 0% particle entrainment at both facilities for OMRI of -2,000 this</w:t>
      </w:r>
      <w:r>
        <w:t xml:space="preserve"> </w:t>
      </w:r>
      <w:r>
        <w:t xml:space="preserve">week and next week. These results indicate that, if Delta smelt larvae were present, the risk of entrainment would be low.</w:t>
      </w:r>
    </w:p>
    <w:bookmarkEnd w:id="42"/>
    <w:bookmarkEnd w:id="43"/>
    <w:bookmarkStart w:id="60" w:name="longfin-smelt"/>
    <w:p>
      <w:pPr>
        <w:pStyle w:val="Heading3"/>
      </w:pPr>
      <w:r>
        <w:t xml:space="preserve">Longfin smelt</w:t>
      </w:r>
    </w:p>
    <w:bookmarkStart w:id="54" w:name="biological-1"/>
    <w:p>
      <w:pPr>
        <w:pStyle w:val="Heading4"/>
      </w:pPr>
      <w:r>
        <w:t xml:space="preserve">Biological</w:t>
      </w:r>
    </w:p>
    <w:p>
      <w:pPr>
        <w:numPr>
          <w:ilvl w:val="0"/>
          <w:numId w:val="1010"/>
        </w:numPr>
      </w:pPr>
      <w:r>
        <w:rPr>
          <w:b/>
          <w:bCs/>
        </w:rPr>
        <w:t xml:space="preserve">Longfin smelt life stages detected in surveys:</w:t>
      </w:r>
      <w:r>
        <w:t xml:space="preserve"> </w:t>
      </w:r>
      <w:r>
        <w:t xml:space="preserve">Larva, Juvenile</w:t>
      </w:r>
    </w:p>
    <w:p>
      <w:pPr>
        <w:numPr>
          <w:ilvl w:val="0"/>
          <w:numId w:val="1010"/>
        </w:numPr>
      </w:pPr>
      <w:r>
        <w:rPr>
          <w:b/>
          <w:bCs/>
        </w:rPr>
        <w:t xml:space="preserve">Longfin smelt count:</w:t>
      </w:r>
      <w:r>
        <w:t xml:space="preserve"> </w:t>
      </w:r>
      <w:r>
        <w:t xml:space="preserve">475 adult, 1214 juvenile, and 8345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20-mm</w:t>
                  </w:r>
                </w:p>
              </w:tc>
              <w:tc>
                <w:tcPr/>
                <w:p>
                  <w:pPr>
                    <w:pStyle w:val="Compact"/>
                    <w:jc w:val="left"/>
                    <w:jc w:val="center"/>
                  </w:pPr>
                  <w:r>
                    <w:t xml:space="preserve">2026-04-08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20-mm</w:t>
                  </w:r>
                </w:p>
              </w:tc>
              <w:tc>
                <w:tcPr/>
                <w:p>
                  <w:pPr>
                    <w:pStyle w:val="Compact"/>
                    <w:jc w:val="left"/>
                    <w:jc w:val="center"/>
                  </w:pPr>
                  <w:r>
                    <w:t xml:space="preserve">2026-04-08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Larva</w:t>
                  </w:r>
                </w:p>
              </w:tc>
              <w:tc>
                <w:tcPr/>
                <w:p>
                  <w:pPr>
                    <w:pStyle w:val="Compact"/>
                    <w:jc w:val="right"/>
                    <w:jc w:val="center"/>
                  </w:pPr>
                  <w:r>
                    <w:t xml:space="preserve">109</w:t>
                  </w:r>
                </w:p>
              </w:tc>
            </w:tr>
            <w:tr>
              <w:tc>
                <w:tcPr/>
                <w:p>
                  <w:pPr>
                    <w:pStyle w:val="Compact"/>
                    <w:jc w:val="left"/>
                    <w:jc w:val="center"/>
                  </w:pPr>
                  <w:r>
                    <w:t xml:space="preserve">20-mm</w:t>
                  </w:r>
                </w:p>
              </w:tc>
              <w:tc>
                <w:tcPr/>
                <w:p>
                  <w:pPr>
                    <w:pStyle w:val="Compact"/>
                    <w:jc w:val="left"/>
                    <w:jc w:val="center"/>
                  </w:pPr>
                  <w:r>
                    <w:t xml:space="preserve">2026-04-08</w:t>
                  </w:r>
                </w:p>
              </w:tc>
              <w:tc>
                <w:tcPr/>
                <w:p>
                  <w:pPr>
                    <w:pStyle w:val="Compact"/>
                    <w:jc w:val="left"/>
                    <w:jc w:val="center"/>
                  </w:pPr>
                  <w:r>
                    <w:t xml:space="preserve">West</w:t>
                  </w:r>
                </w:p>
              </w:tc>
              <w:tc>
                <w:tcPr/>
                <w:p>
                  <w:pPr>
                    <w:pStyle w:val="Compact"/>
                    <w:jc w:val="left"/>
                    <w:jc w:val="center"/>
                  </w:pPr>
                  <w:r>
                    <w:t xml:space="preserve">Suisun Marsh</w:t>
                  </w:r>
                </w:p>
              </w:tc>
              <w:tc>
                <w:tcPr/>
                <w:p>
                  <w:pPr>
                    <w:pStyle w:val="Compact"/>
                    <w:jc w:val="left"/>
                    <w:jc w:val="center"/>
                  </w:pPr>
                  <w:r>
                    <w:t xml:space="preserve">NA</w:t>
                  </w:r>
                </w:p>
              </w:tc>
              <w:tc>
                <w:tcPr/>
                <w:p>
                  <w:pPr>
                    <w:pStyle w:val="Compact"/>
                    <w:jc w:val="right"/>
                    <w:jc w:val="center"/>
                  </w:pPr>
                  <w:r>
                    <w:t xml:space="preserve">3</w:t>
                  </w:r>
                </w:p>
              </w:tc>
            </w:tr>
          </w:tbl>
          <w:bookmarkEnd w:id="44"/>
          <w:p/>
        </w:tc>
      </w:tr>
    </w:tbl>
    <w:tbl>
      <w:tblPr>
        <w:tblStyle w:val="Table"/>
        <w:tblW w:type="pct" w:w="5000"/>
        <w:tblLayout w:type="fixed"/>
        <w:tblLook w:firstRow="0" w:lastRow="0" w:firstColumn="0" w:lastColumn="0" w:noHBand="0" w:noVBand="0" w:val="0000"/>
      </w:tblPr>
      <w:tblGrid>
        <w:gridCol w:w="7920"/>
      </w:tblGrid>
      <w:tr>
        <w:tc>
          <w:tcPr/>
          <w:bookmarkStart w:id="48" w:name="fig-lfs-map"/>
          <w:p>
            <w:pPr>
              <w:pStyle w:val="Compact"/>
              <w:jc w:val="center"/>
            </w:pPr>
            <w:r>
              <w:drawing>
                <wp:inline>
                  <wp:extent cx="5943600" cy="5200649"/>
                  <wp:effectExtent b="0" l="0" r="0" t="0"/>
                  <wp:docPr descr="" title="" id="46" name="Picture"/>
                  <a:graphic>
                    <a:graphicData uri="http://schemas.openxmlformats.org/drawingml/2006/picture">
                      <pic:pic>
                        <pic:nvPicPr>
                          <pic:cNvPr descr="smt-assessment-v1_files/figure-docx/fig-lfs-map-1.png" id="47" name="Picture"/>
                          <pic:cNvPicPr>
                            <a:picLocks noChangeArrowheads="1" noChangeAspect="1"/>
                          </pic:cNvPicPr>
                        </pic:nvPicPr>
                        <pic:blipFill>
                          <a:blip r:embed="rId4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48"/>
        </w:tc>
      </w:tr>
    </w:tbl>
    <w:tbl>
      <w:tblPr>
        <w:tblStyle w:val="Table"/>
        <w:tblW w:type="pct" w:w="5000"/>
        <w:tblLayout w:type="fixed"/>
        <w:tblLook w:firstRow="0" w:lastRow="0" w:firstColumn="0" w:lastColumn="0" w:noHBand="0" w:noVBand="0" w:val="0000"/>
      </w:tblPr>
      <w:tblGrid>
        <w:gridCol w:w="7920"/>
      </w:tblGrid>
      <w:tr>
        <w:tc>
          <w:tcPr/>
          <w:bookmarkStart w:id="4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20-mm</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1</w:t>
                  </w:r>
                </w:p>
              </w:tc>
            </w:tr>
            <w:tr>
              <w:tc>
                <w:tcPr/>
                <w:p>
                  <w:pPr>
                    <w:pStyle w:val="Compact"/>
                    <w:jc w:val="left"/>
                    <w:jc w:val="center"/>
                  </w:pPr>
                  <w:r>
                    <w:t xml:space="preserve">20-mm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40</w:t>
                  </w:r>
                </w:p>
              </w:tc>
            </w:tr>
            <w:tr>
              <w:tc>
                <w:tcPr/>
                <w:p>
                  <w:pPr>
                    <w:pStyle w:val="Compact"/>
                    <w:jc w:val="left"/>
                    <w:jc w:val="center"/>
                  </w:pPr>
                  <w:r>
                    <w:t xml:space="preserve">20-mm</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520</w:t>
                  </w:r>
                </w:p>
              </w:tc>
            </w:tr>
            <w:tr>
              <w:tc>
                <w:tcPr/>
                <w:p>
                  <w:pPr>
                    <w:pStyle w:val="Compact"/>
                    <w:jc w:val="left"/>
                    <w:jc w:val="center"/>
                  </w:pPr>
                  <w:r>
                    <w:t xml:space="preserve">20mm</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12</w:t>
                  </w:r>
                </w:p>
              </w:tc>
            </w:tr>
            <w:tr>
              <w:tc>
                <w:tcPr/>
                <w:p>
                  <w:pPr>
                    <w:pStyle w:val="Compact"/>
                    <w:jc w:val="left"/>
                    <w:jc w:val="center"/>
                  </w:pPr>
                  <w:r>
                    <w:t xml:space="preserve">20mm</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10</w:t>
                  </w:r>
                </w:p>
              </w:tc>
            </w:tr>
            <w:tr>
              <w:tc>
                <w:tcPr/>
                <w:p>
                  <w:pPr>
                    <w:pStyle w:val="Compact"/>
                    <w:jc w:val="left"/>
                    <w:jc w:val="center"/>
                  </w:pPr>
                  <w:r>
                    <w:t xml:space="preserve">20mm</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13</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267</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31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24</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100</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83</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204</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18</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28</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53</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624</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27</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111</w:t>
                  </w:r>
                </w:p>
              </w:tc>
            </w:tr>
            <w:tr>
              <w:tc>
                <w:tcPr/>
                <w:p>
                  <w:pPr>
                    <w:pStyle w:val="Compact"/>
                    <w:jc w:val="left"/>
                    <w:jc w:val="center"/>
                  </w:pPr>
                  <w:r>
                    <w:t xml:space="preserve">baystudy</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baystudy</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7</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24</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448</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4274</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91</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54</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2531</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391</w:t>
                  </w:r>
                </w:p>
              </w:tc>
            </w:tr>
          </w:tbl>
          <w:bookmarkEnd w:id="49"/>
          <w:p/>
        </w:tc>
      </w:tr>
    </w:tbl>
    <w:tbl>
      <w:tblPr>
        <w:tblStyle w:val="Table"/>
        <w:tblW w:type="pct" w:w="5000"/>
        <w:tblLayout w:type="fixed"/>
        <w:tblLook w:firstRow="0" w:lastRow="0" w:firstColumn="0" w:lastColumn="0" w:noHBand="0" w:noVBand="0" w:val="0000"/>
      </w:tblPr>
      <w:tblGrid>
        <w:gridCol w:w="7920"/>
      </w:tblGrid>
      <w:tr>
        <w:tc>
          <w:tcPr/>
          <w:bookmarkStart w:id="53" w:name="fig-lfs-catch"/>
          <w:p>
            <w:pPr>
              <w:pStyle w:val="Compact"/>
              <w:jc w:val="center"/>
            </w:pPr>
            <w:r>
              <w:drawing>
                <wp:inline>
                  <wp:extent cx="4576576" cy="3661261"/>
                  <wp:effectExtent b="0" l="0" r="0" t="0"/>
                  <wp:docPr descr="" title="" id="51" name="Picture"/>
                  <a:graphic>
                    <a:graphicData uri="http://schemas.openxmlformats.org/drawingml/2006/picture">
                      <pic:pic>
                        <pic:nvPicPr>
                          <pic:cNvPr descr="smt-assessment-v1_files/figure-docx/fig-lfs-catch-1.png" id="52" name="Picture"/>
                          <pic:cNvPicPr>
                            <a:picLocks noChangeArrowheads="1" noChangeAspect="1"/>
                          </pic:cNvPicPr>
                        </pic:nvPicPr>
                        <pic:blipFill>
                          <a:blip r:embed="rId5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3"/>
        </w:tc>
      </w:tr>
    </w:tbl>
    <w:bookmarkEnd w:id="54"/>
    <w:bookmarkStart w:id="58" w:name="real-time-assessment-thresholds-1"/>
    <w:p>
      <w:pPr>
        <w:pStyle w:val="Heading4"/>
      </w:pPr>
      <w:r>
        <w:t xml:space="preserve">Real-time Assessment Thresholds</w:t>
      </w:r>
    </w:p>
    <w:bookmarkStart w:id="55" w:name="X20cb4fe57c6f57bc33c1a6af910e71e88796402"/>
    <w:p>
      <w:pPr>
        <w:pStyle w:val="Heading5"/>
      </w:pPr>
      <w:r>
        <w:t xml:space="preserve">Start of Entrainment Management (Adult Longfin Smelt)</w:t>
      </w:r>
    </w:p>
    <w:p>
      <w:pPr>
        <w:pStyle w:val="Compact"/>
        <w:numPr>
          <w:ilvl w:val="0"/>
          <w:numId w:val="1011"/>
        </w:numPr>
      </w:pPr>
      <w:r>
        <w:t xml:space="preserve">This action was not taken in WY26</w:t>
      </w:r>
    </w:p>
    <w:bookmarkEnd w:id="55"/>
    <w:bookmarkStart w:id="5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5,260 cfs as of Apr 20, 2026</w:t>
      </w:r>
    </w:p>
    <w:p>
      <w:pPr>
        <w:pStyle w:val="Compact"/>
        <w:numPr>
          <w:ilvl w:val="1"/>
          <w:numId w:val="1013"/>
        </w:numPr>
      </w:pPr>
      <w:r>
        <w:t xml:space="preserve">Adult abundance (Age 1+ LFS index): 2479.2 fish</w:t>
      </w:r>
    </w:p>
    <w:p>
      <w:pPr>
        <w:pStyle w:val="Compact"/>
        <w:numPr>
          <w:ilvl w:val="2"/>
          <w:numId w:val="1014"/>
        </w:numPr>
      </w:pPr>
      <w:r>
        <w:t xml:space="preserve">5% of abundance + 1: 125.0</w:t>
      </w:r>
    </w:p>
    <w:p>
      <w:pPr>
        <w:pStyle w:val="Compact"/>
        <w:numPr>
          <w:ilvl w:val="1"/>
          <w:numId w:val="1013"/>
        </w:numPr>
      </w:pPr>
      <w:r>
        <w:t xml:space="preserve">Water year total adult longfin smelt salvage = 0</w:t>
      </w:r>
    </w:p>
    <w:bookmarkEnd w:id="56"/>
    <w:bookmarkStart w:id="57" w:name="larvaljuvenile-longfin-smelt"/>
    <w:p>
      <w:pPr>
        <w:pStyle w:val="Heading5"/>
      </w:pPr>
      <w:r>
        <w:t xml:space="preserve">Larval/juvenile longfin smelt</w:t>
      </w:r>
    </w:p>
    <w:p>
      <w:pPr>
        <w:pStyle w:val="Compact"/>
        <w:numPr>
          <w:ilvl w:val="0"/>
          <w:numId w:val="1015"/>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6"/>
        </w:numPr>
      </w:pPr>
      <w:r>
        <w:t xml:space="preserve">Daily average JPF: 5,260 cfs as of Apr 20, 2026</w:t>
      </w:r>
    </w:p>
    <w:bookmarkEnd w:id="57"/>
    <w:bookmarkEnd w:id="58"/>
    <w:bookmarkStart w:id="59" w:name="evaluation-1"/>
    <w:p>
      <w:pPr>
        <w:pStyle w:val="Heading4"/>
      </w:pPr>
      <w:r>
        <w:t xml:space="preserve">Evaluation</w:t>
      </w:r>
    </w:p>
    <w:p>
      <w:pPr>
        <w:pStyle w:val="FirstParagraph"/>
      </w:pPr>
      <w:r>
        <w:rPr>
          <w:b/>
          <w:bCs/>
        </w:rPr>
        <w:t xml:space="preserve">Longfin smelt:</w:t>
      </w:r>
    </w:p>
    <w:p>
      <w:pPr>
        <w:numPr>
          <w:ilvl w:val="0"/>
          <w:numId w:val="1017"/>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projected to remain positive throughout the week and no adult</w:t>
      </w:r>
      <w:r>
        <w:t xml:space="preserve"> </w:t>
      </w:r>
      <w:r>
        <w:t xml:space="preserve">longfin smelt have been detected in salvage this water year.</w:t>
      </w:r>
    </w:p>
    <w:p>
      <w:pPr>
        <w:numPr>
          <w:ilvl w:val="0"/>
          <w:numId w:val="1017"/>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projected to remain positive throughout the week, so the condition of JPF &lt; 0 cfs is not met. Additionally, PTM</w:t>
      </w:r>
      <w:r>
        <w:t xml:space="preserve"> </w:t>
      </w:r>
      <w:r>
        <w:t xml:space="preserve">and Zone of Influence modeling indicate a low risk of entrainment for the larval and juvenile Longfin Smelt population. The Longfin smelt</w:t>
      </w:r>
      <w:r>
        <w:t xml:space="preserve"> </w:t>
      </w:r>
      <w:r>
        <w:t xml:space="preserve">larval population and PTM analysis projects low entrainment relative to estimated abundance for this week. The model shows the estimated</w:t>
      </w:r>
      <w:r>
        <w:t xml:space="preserve"> </w:t>
      </w:r>
      <w:r>
        <w:t xml:space="preserve">entrainment for this week is estimated to be 0% for the -2,000 cfs OMRI scenario.</w:t>
      </w:r>
    </w:p>
    <w:p>
      <w:pPr>
        <w:numPr>
          <w:ilvl w:val="0"/>
          <w:numId w:val="1000"/>
        </w:numPr>
      </w:pPr>
      <w:r>
        <w:t xml:space="preserve">Zone of Influence modeling indicates moderate differences in the hydrodynamic footprint</w:t>
      </w:r>
      <w:r>
        <w:t xml:space="preserve"> </w:t>
      </w:r>
      <w:r>
        <w:t xml:space="preserve">across OMRI scenarios; however, the Zone of Influence does not extend into the</w:t>
      </w:r>
      <w:r>
        <w:t xml:space="preserve"> </w:t>
      </w:r>
      <w:r>
        <w:t xml:space="preserve">western or far western regions where most Longfin Smelt larvae and juveniles have been</w:t>
      </w:r>
      <w:r>
        <w:t xml:space="preserve"> </w:t>
      </w:r>
      <w:r>
        <w:t xml:space="preserve">detected. Therefore, these effects are not anticipated to result in a population</w:t>
      </w:r>
      <w:r>
        <w:t xml:space="preserve"> </w:t>
      </w:r>
      <w:r>
        <w:t xml:space="preserve">decline, and the criteria for initiating this action are not met.</w:t>
      </w:r>
    </w:p>
    <w:p>
      <w:pPr>
        <w:numPr>
          <w:ilvl w:val="0"/>
          <w:numId w:val="1017"/>
        </w:numPr>
      </w:pPr>
      <w:r>
        <w:t xml:space="preserve">Is there additional information or other analyses that should be considered in this evaluation?</w:t>
      </w:r>
    </w:p>
    <w:p>
      <w:pPr>
        <w:numPr>
          <w:ilvl w:val="0"/>
          <w:numId w:val="1000"/>
        </w:numPr>
      </w:pPr>
      <w:r>
        <w:t xml:space="preserve">Please see Appendix A for additional information.</w:t>
      </w:r>
    </w:p>
    <w:bookmarkEnd w:id="59"/>
    <w:bookmarkEnd w:id="60"/>
    <w:bookmarkStart w:id="61" w:name="end-of-smelt-entrainment-management"/>
    <w:p>
      <w:pPr>
        <w:pStyle w:val="Heading3"/>
      </w:pPr>
      <w:r>
        <w:t xml:space="preserve">End of smelt Entrainment Management</w:t>
      </w:r>
    </w:p>
    <w:p>
      <w:pPr>
        <w:pStyle w:val="Compact"/>
        <w:numPr>
          <w:ilvl w:val="0"/>
          <w:numId w:val="1018"/>
        </w:numPr>
      </w:pPr>
      <w:r>
        <w:t xml:space="preserve">Not relevant</w:t>
      </w:r>
    </w:p>
    <w:bookmarkEnd w:id="61"/>
    <w:bookmarkStart w:id="67" w:name="references"/>
    <w:p>
      <w:pPr>
        <w:pStyle w:val="Heading3"/>
      </w:pPr>
      <w:r>
        <w:t xml:space="preserve">References</w:t>
      </w:r>
    </w:p>
    <w:bookmarkStart w:id="66" w:name="refs"/>
    <w:bookmarkStart w:id="62" w:name="ref-damon2016"/>
    <w:p>
      <w:pPr>
        <w:pStyle w:val="Bibliography"/>
      </w:pPr>
      <w:r>
        <w:t xml:space="preserve">Damon, L. J., Slater, S. B., Baxter, R. D., &amp; Fujimura, R. W. (2016). Fecundity and reproductive potential of wild female delta smelt in the upper san francisco estuary, california.</w:t>
      </w:r>
      <w:r>
        <w:t xml:space="preserve"> </w:t>
      </w:r>
      <w:r>
        <w:rPr>
          <w:i/>
          <w:iCs/>
        </w:rPr>
        <w:t xml:space="preserve">California Fish and Game</w:t>
      </w:r>
      <w:r>
        <w:t xml:space="preserve">,</w:t>
      </w:r>
      <w:r>
        <w:t xml:space="preserve"> </w:t>
      </w:r>
      <w:r>
        <w:rPr>
          <w:i/>
          <w:iCs/>
        </w:rPr>
        <w:t xml:space="preserve">102</w:t>
      </w:r>
      <w:r>
        <w:t xml:space="preserve">(4), 188–210.</w:t>
      </w:r>
    </w:p>
    <w:bookmarkEnd w:id="62"/>
    <w:bookmarkStart w:id="63" w:name="ref-grimaldo2021"/>
    <w:p>
      <w:pPr>
        <w:pStyle w:val="Bibliography"/>
      </w:pPr>
      <w:r>
        <w:t xml:space="preserve">Grimaldo, L. F., Smith, W. E., &amp; Nobriga, M. L. (2021). Re-examining factors that affect delta smelt (hypomesus transpacificus) entrainment at the state water project and central valley project in the sacramento–san joaquin delta.</w:t>
      </w:r>
      <w:r>
        <w:t xml:space="preserve"> </w:t>
      </w:r>
      <w:r>
        <w:rPr>
          <w:i/>
          <w:iCs/>
        </w:rPr>
        <w:t xml:space="preserve">San Francisco Estuary and Watershed Science</w:t>
      </w:r>
      <w:r>
        <w:t xml:space="preserve">,</w:t>
      </w:r>
      <w:r>
        <w:t xml:space="preserve"> </w:t>
      </w:r>
      <w:r>
        <w:rPr>
          <w:i/>
          <w:iCs/>
        </w:rPr>
        <w:t xml:space="preserve">19</w:t>
      </w:r>
      <w:r>
        <w:t xml:space="preserve">(1).</w:t>
      </w:r>
    </w:p>
    <w:bookmarkEnd w:id="63"/>
    <w:bookmarkStart w:id="64" w:name="ref-grimaldo2009"/>
    <w:p>
      <w:pPr>
        <w:pStyle w:val="Bibliography"/>
      </w:pPr>
      <w:r>
        <w:t xml:space="preserve">Grimaldo, L. F., Sommer, T., Van Ark, N., Jones, G., Holland, E., Moyle, P. B., Herbold, B., &amp; Smith, P. (2009). Factors affecting fish entrainment into massive water diversions in a tidal freshwater estuary: Can fish losses be managed?</w:t>
      </w:r>
      <w:r>
        <w:t xml:space="preserve"> </w:t>
      </w:r>
      <w:r>
        <w:rPr>
          <w:i/>
          <w:iCs/>
        </w:rPr>
        <w:t xml:space="preserve">North American Journal of Fisheries Management</w:t>
      </w:r>
      <w:r>
        <w:t xml:space="preserve">,</w:t>
      </w:r>
      <w:r>
        <w:t xml:space="preserve"> </w:t>
      </w:r>
      <w:r>
        <w:rPr>
          <w:i/>
          <w:iCs/>
        </w:rPr>
        <w:t xml:space="preserve">29</w:t>
      </w:r>
      <w:r>
        <w:t xml:space="preserve">(5), 1253–1270.</w:t>
      </w:r>
    </w:p>
    <w:bookmarkEnd w:id="64"/>
    <w:bookmarkStart w:id="65" w:name="ref-sommer2011"/>
    <w:p>
      <w:pPr>
        <w:pStyle w:val="Bibliography"/>
      </w:pPr>
      <w:r>
        <w:t xml:space="preserve">Sommer, T., Mejia, F. H., Nobriga, M. L., Feyrer, F., &amp; Grimaldo, L. (2011). The spawning migration of delta smelt in the upper san francisco estuary.</w:t>
      </w:r>
      <w:r>
        <w:t xml:space="preserve"> </w:t>
      </w:r>
      <w:r>
        <w:rPr>
          <w:i/>
          <w:iCs/>
        </w:rPr>
        <w:t xml:space="preserve">San Francisco Estuary and Watershed Science</w:t>
      </w:r>
      <w:r>
        <w:t xml:space="preserve">,</w:t>
      </w:r>
      <w:r>
        <w:t xml:space="preserve"> </w:t>
      </w:r>
      <w:r>
        <w:rPr>
          <w:i/>
          <w:iCs/>
        </w:rPr>
        <w:t xml:space="preserve">9</w:t>
      </w:r>
      <w:r>
        <w:t xml:space="preserve">(2).</w:t>
      </w:r>
    </w:p>
    <w:bookmarkEnd w:id="65"/>
    <w:bookmarkEnd w:id="66"/>
    <w:bookmarkEnd w:id="67"/>
    <w:bookmarkEnd w:id="68"/>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25778032"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2026-04-21T17:36:42Z</dcterms:created>
  <dcterms:modified xsi:type="dcterms:W3CDTF">2026-04-21T17:36:42Z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