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25.png" ContentType="image/png"/>
  <Override PartName="/word/media/rId5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6826eb71b2e7ccf0cae7c428170c7924ae60314"/>
    <w:p>
      <w:pPr>
        <w:pStyle w:val="Heading2"/>
      </w:pPr>
      <w:r>
        <w:t xml:space="preserve">Weekly Assessment for Delta Operations on ESA and CESA-listed Osmerids</w:t>
      </w:r>
    </w:p>
    <w:p>
      <w:pPr>
        <w:pStyle w:val="FirstParagraph"/>
      </w:pPr>
      <w:r>
        <w:t xml:space="preserve">Last updated:</w:t>
      </w:r>
      <w:r>
        <w:t xml:space="preserve"> </w:t>
      </w:r>
      <w:r>
        <w:rPr>
          <w:i/>
          <w:iCs/>
        </w:rPr>
        <w:t xml:space="preserve">March 02, 2026</w:t>
      </w:r>
    </w:p>
    <w:bookmarkStart w:id="20" w:name="executive-summary"/>
    <w:p>
      <w:pPr>
        <w:pStyle w:val="Heading3"/>
      </w:pPr>
      <w:r>
        <w:t xml:space="preserve">Executive Summary</w:t>
      </w:r>
    </w:p>
    <w:p>
      <w:pPr>
        <w:pStyle w:val="Compact"/>
        <w:numPr>
          <w:ilvl w:val="0"/>
          <w:numId w:val="1001"/>
        </w:numPr>
      </w:pPr>
      <w:r>
        <w:t xml:space="preserve">Entrainment management is currently active.</w:t>
      </w:r>
    </w:p>
    <w:p>
      <w:pPr>
        <w:pStyle w:val="Compact"/>
        <w:numPr>
          <w:ilvl w:val="0"/>
          <w:numId w:val="1001"/>
        </w:numPr>
      </w:pPr>
      <w:r>
        <w:t xml:space="preserve">Adult Delta smelt action is no longer active.</w:t>
      </w:r>
    </w:p>
    <w:p>
      <w:pPr>
        <w:pStyle w:val="Compact"/>
        <w:numPr>
          <w:ilvl w:val="0"/>
          <w:numId w:val="1001"/>
        </w:numPr>
      </w:pPr>
      <w:r>
        <w:t xml:space="preserve">Delta smelt were most recently detected at Suisun Marsh.</w:t>
      </w:r>
    </w:p>
    <w:p>
      <w:pPr>
        <w:pStyle w:val="Compact"/>
        <w:numPr>
          <w:ilvl w:val="0"/>
          <w:numId w:val="1001"/>
        </w:numPr>
      </w:pPr>
      <w:r>
        <w:t xml:space="preserve">No Delta smelt or longfin smelt salvage has been observed this water year.</w:t>
      </w:r>
    </w:p>
    <w:p>
      <w:pPr>
        <w:pStyle w:val="Compact"/>
        <w:numPr>
          <w:ilvl w:val="0"/>
          <w:numId w:val="1001"/>
        </w:numPr>
      </w:pPr>
      <w:r>
        <w:t xml:space="preserve">Turbidity in the central/south Delta is low to moderate.</w:t>
      </w:r>
    </w:p>
    <w:bookmarkEnd w:id="20"/>
    <w:bookmarkStart w:id="22" w:name="operational-and-regulatory-conditions"/>
    <w:p>
      <w:pPr>
        <w:pStyle w:val="Heading3"/>
      </w:pPr>
      <w:r>
        <w:t xml:space="preserve">Operational and Regulatory Conditions</w:t>
      </w:r>
    </w:p>
    <w:p>
      <w:pPr>
        <w:pStyle w:val="Compact"/>
        <w:numPr>
          <w:ilvl w:val="0"/>
          <w:numId w:val="1002"/>
        </w:numPr>
      </w:pPr>
      <w:r>
        <w:t xml:space="preserve">See current Weekly Fish and Water Operations Outlook document.</w:t>
      </w:r>
    </w:p>
    <w:p>
      <w:pPr>
        <w:pStyle w:val="Compact"/>
        <w:numPr>
          <w:ilvl w:val="0"/>
          <w:numId w:val="1002"/>
        </w:numPr>
      </w:pPr>
      <w:r>
        <w:t xml:space="preserve">Additional information also available on the</w:t>
      </w:r>
      <w:r>
        <w:t xml:space="preserve"> </w:t>
      </w:r>
      <w:hyperlink r:id="rId21">
        <w:r>
          <w:rPr>
            <w:rStyle w:val="Hyperlink"/>
          </w:rPr>
          <w:t xml:space="preserve">SacPAS SMT page</w:t>
        </w:r>
      </w:hyperlink>
      <w:r>
        <w:t xml:space="preserve">.</w:t>
      </w:r>
    </w:p>
    <w:bookmarkEnd w:id="22"/>
    <w:bookmarkStart w:id="43" w:name="delta-smelt"/>
    <w:p>
      <w:pPr>
        <w:pStyle w:val="Heading3"/>
      </w:pPr>
      <w:r>
        <w:t xml:space="preserve">Delta smelt</w:t>
      </w:r>
    </w:p>
    <w:bookmarkStart w:id="34" w:name="biological"/>
    <w:p>
      <w:pPr>
        <w:pStyle w:val="Heading4"/>
      </w:pPr>
      <w:r>
        <w:t xml:space="preserve">Biological</w:t>
      </w:r>
    </w:p>
    <w:p>
      <w:pPr>
        <w:numPr>
          <w:ilvl w:val="0"/>
          <w:numId w:val="1003"/>
        </w:numPr>
      </w:pPr>
      <w:r>
        <w:rPr>
          <w:b/>
          <w:bCs/>
        </w:rPr>
        <w:t xml:space="preserve">Delta smelt life stages:</w:t>
      </w:r>
    </w:p>
    <w:p>
      <w:pPr>
        <w:numPr>
          <w:ilvl w:val="0"/>
          <w:numId w:val="1003"/>
        </w:numPr>
      </w:pPr>
      <w:r>
        <w:rPr>
          <w:b/>
          <w:bCs/>
        </w:rPr>
        <w:t xml:space="preserve">Abundance estimate:</w:t>
      </w:r>
      <w:r>
        <w:t xml:space="preserve"> </w:t>
      </w:r>
      <w:r>
        <w:t xml:space="preserve">9901 (95% CL: 1,407 to 35,401) as of the week of February 23–27, 2026</w:t>
      </w:r>
    </w:p>
    <w:p>
      <w:pPr>
        <w:numPr>
          <w:ilvl w:val="0"/>
          <w:numId w:val="1003"/>
        </w:numPr>
      </w:pPr>
      <w:r>
        <w:rPr>
          <w:b/>
          <w:bCs/>
        </w:rPr>
        <w:t xml:space="preserve">Releases:</w:t>
      </w:r>
      <w:r>
        <w:t xml:space="preserve"> </w:t>
      </w:r>
      <w:r>
        <w:t xml:space="preserve">A total of 163,349 cultured Delta smelt have been released for WY 2026. The most recent release of 24,606 fish occurred in Sacramento River at Rio Vista on Dec 16, 2025.</w:t>
      </w:r>
    </w:p>
    <w:p>
      <w:pPr>
        <w:numPr>
          <w:ilvl w:val="0"/>
          <w:numId w:val="1003"/>
        </w:numPr>
      </w:pPr>
      <w:r>
        <w:rPr>
          <w:b/>
          <w:bCs/>
        </w:rPr>
        <w:t xml:space="preserve">Delta smelt count:</w:t>
      </w:r>
      <w:r>
        <w:t xml:space="preserve"> </w:t>
      </w:r>
      <w:r>
        <w:t xml:space="preserve">36 adult Delta smelt and 29 juvenile Delta smelt have been detected this water year. See</w:t>
      </w:r>
      <w:r>
        <w:t xml:space="preserve"> </w:t>
      </w:r>
      <w:hyperlink w:anchor="tbl-ds-recent-catch">
        <w:r>
          <w:rPr>
            <w:rStyle w:val="Hyperlink"/>
          </w:rPr>
          <w:t xml:space="preserve">Table 1</w:t>
        </w:r>
      </w:hyperlink>
      <w:r>
        <w:t xml:space="preserve"> </w:t>
      </w:r>
      <w:r>
        <w:t xml:space="preserve">for recent detections,</w:t>
      </w:r>
      <w:r>
        <w:t xml:space="preserve"> </w:t>
      </w:r>
      <w:hyperlink w:anchor="fig-ds-map">
        <w:r>
          <w:rPr>
            <w:rStyle w:val="Hyperlink"/>
          </w:rPr>
          <w:t xml:space="preserve">Figure 1</w:t>
        </w:r>
      </w:hyperlink>
      <w:r>
        <w:t xml:space="preserve"> </w:t>
      </w:r>
      <w:r>
        <w:t xml:space="preserve">for spatial distribution, and</w:t>
      </w:r>
      <w:r>
        <w:t xml:space="preserve"> </w:t>
      </w:r>
      <w:hyperlink w:anchor="fig-ds-catch">
        <w:r>
          <w:rPr>
            <w:rStyle w:val="Hyperlink"/>
          </w:rPr>
          <w:t xml:space="preserve">Figure 2</w:t>
        </w:r>
      </w:hyperlink>
      <w:r>
        <w:t xml:space="preserve"> </w:t>
      </w:r>
      <w:r>
        <w:t xml:space="preserve">for temporal distribution.</w:t>
      </w:r>
    </w:p>
    <w:p>
      <w:pPr>
        <w:numPr>
          <w:ilvl w:val="0"/>
          <w:numId w:val="1003"/>
        </w:numPr>
      </w:pPr>
      <w:r>
        <w:rPr>
          <w:b/>
          <w:bCs/>
        </w:rPr>
        <w:t xml:space="preserve">Delta smelt salvage:</w:t>
      </w:r>
      <w:r>
        <w:t xml:space="preserve"> </w:t>
      </w:r>
      <w:r>
        <w:t xml:space="preserve">0 Delta smelt have been salvaged, and the cumulative seasonal salvage is 0.</w:t>
      </w:r>
    </w:p>
    <w:p>
      <w:pPr>
        <w:pStyle w:val="FirstParagraph"/>
      </w:pPr>
      <w:r>
        <w:rPr>
          <w:b/>
          <w:bCs/>
        </w:rPr>
        <w:t xml:space="preserve">Notes</w:t>
      </w:r>
    </w:p>
    <w:p>
      <w:pPr>
        <w:pStyle w:val="Compact"/>
        <w:numPr>
          <w:ilvl w:val="0"/>
          <w:numId w:val="1004"/>
        </w:numPr>
      </w:pPr>
      <w:r>
        <w:t xml:space="preserve">Since there are few recent detections of Delta smelt, estimation of distribution within the Delta is limited.</w:t>
      </w:r>
    </w:p>
    <w:p>
      <w:pPr>
        <w:pStyle w:val="Compact"/>
        <w:numPr>
          <w:ilvl w:val="0"/>
          <w:numId w:val="1004"/>
        </w:numPr>
      </w:pPr>
      <w:r>
        <w:t xml:space="preserve">As mentioned in EDSM reporting, fork length ranges reported for Delta smelt and longfin smelt life stages are defined by permit reporting purposes and are not intended to delineate cohorts or distinguish from hatchery or wild origin. See</w:t>
      </w:r>
      <w:r>
        <w:t xml:space="preserve"> </w:t>
      </w:r>
      <w:hyperlink w:anchor="tbl-ds-recent-catch">
        <w:r>
          <w:rPr>
            <w:rStyle w:val="Hyperlink"/>
          </w:rPr>
          <w:t xml:space="preserve">Table 1</w:t>
        </w:r>
      </w:hyperlink>
      <w:r>
        <w:t xml:space="preserve"> </w:t>
      </w:r>
      <w:r>
        <w:t xml:space="preserve">caption for fork-length ranges for age groups of Delta smelt.</w:t>
      </w:r>
    </w:p>
    <w:p>
      <w:pPr>
        <w:pStyle w:val="Compact"/>
        <w:numPr>
          <w:ilvl w:val="0"/>
          <w:numId w:val="1004"/>
        </w:numPr>
      </w:pPr>
      <w:r>
        <w:t xml:space="preserve">See</w:t>
      </w:r>
      <w:r>
        <w:t xml:space="preserve"> </w:t>
      </w:r>
      <w:hyperlink r:id="rId21">
        <w:r>
          <w:rPr>
            <w:rStyle w:val="Hyperlink"/>
          </w:rPr>
          <w:t xml:space="preserve">SacPAS SMT Page</w:t>
        </w:r>
      </w:hyperlink>
      <w:r>
        <w:t xml:space="preserve"> </w:t>
      </w:r>
      <w:r>
        <w:t xml:space="preserve">for additional details on releases and detection in surveys and salvage.</w:t>
      </w:r>
    </w:p>
    <w:p>
      <w:pPr>
        <w:pStyle w:val="Compact"/>
        <w:numPr>
          <w:ilvl w:val="0"/>
          <w:numId w:val="1004"/>
        </w:numPr>
      </w:pPr>
      <w:r>
        <w:t xml:space="preserve">Historical salvage trends can be found at:</w:t>
      </w:r>
      <w:r>
        <w:t xml:space="preserve"> </w:t>
      </w:r>
      <w:hyperlink r:id="rId23">
        <w:r>
          <w:rPr>
            <w:rStyle w:val="Hyperlink"/>
          </w:rPr>
          <w:t xml:space="preserve">SacPAS Salvage Timing</w:t>
        </w:r>
      </w:hyperlink>
    </w:p>
    <w:tbl>
      <w:tblPr>
        <w:tblStyle w:val="Table"/>
        <w:tblW w:type="pct" w:w="5000"/>
        <w:tblLayout w:type="fixed"/>
        <w:tblLook w:firstRow="0" w:lastRow="0" w:firstColumn="0" w:lastColumn="0" w:noHBand="0" w:noVBand="0" w:val="0000"/>
      </w:tblPr>
      <w:tblGrid>
        <w:gridCol w:w="7920"/>
      </w:tblGrid>
      <w:tr>
        <w:tc>
          <w:tcPr/>
          <w:bookmarkStart w:id="24" w:name="tbl-ds-recent-catch"/>
          <w:p>
            <w:pPr>
              <w:jc w:val="center"/>
            </w:pPr>
            <w:pPr>
              <w:jc w:val="start"/>
              <w:spacing w:before="200"/>
              <w:pStyle w:val="ImageCaption"/>
            </w:pPr>
            <w:r>
              <w:t xml:space="preserve">Table 1: Delta smelt detections in the last 2 weeks. Fork Length &gt; 58mm = Adult, Fork Length 20-58mm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bl>
          <w:bookmarkEnd w:id="24"/>
          <w:p/>
        </w:tc>
      </w:tr>
    </w:tbl>
    <w:tbl>
      <w:tblPr>
        <w:tblStyle w:val="Table"/>
        <w:tblW w:type="pct" w:w="5000"/>
        <w:tblLayout w:type="fixed"/>
        <w:tblLook w:firstRow="0" w:lastRow="0" w:firstColumn="0" w:lastColumn="0" w:noHBand="0" w:noVBand="0" w:val="0000"/>
      </w:tblPr>
      <w:tblGrid>
        <w:gridCol w:w="7920"/>
      </w:tblGrid>
      <w:tr>
        <w:tc>
          <w:tcPr/>
          <w:bookmarkStart w:id="28" w:name="fig-ds-map"/>
          <w:p>
            <w:pPr>
              <w:pStyle w:val="Compact"/>
              <w:jc w:val="center"/>
            </w:pPr>
            <w:r>
              <w:drawing>
                <wp:inline>
                  <wp:extent cx="5943600" cy="5200649"/>
                  <wp:effectExtent b="0" l="0" r="0" t="0"/>
                  <wp:docPr descr="" title="" id="26" name="Picture"/>
                  <a:graphic>
                    <a:graphicData uri="http://schemas.openxmlformats.org/drawingml/2006/picture">
                      <pic:pic>
                        <pic:nvPicPr>
                          <pic:cNvPr descr="smt-assessment-v1_files/figure-docx/fig-ds-map-1.png" id="27" name="Picture"/>
                          <pic:cNvPicPr>
                            <a:picLocks noChangeArrowheads="1" noChangeAspect="1"/>
                          </pic:cNvPicPr>
                        </pic:nvPicPr>
                        <pic:blipFill>
                          <a:blip r:embed="rId25"/>
                          <a:stretch>
                            <a:fillRect/>
                          </a:stretch>
                        </pic:blipFill>
                        <pic:spPr bwMode="auto">
                          <a:xfrm>
                            <a:off x="0" y="0"/>
                            <a:ext cx="5943600" cy="52006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Delta smelt distribution for WY 2026</w:t>
            </w:r>
          </w:p>
          <w:bookmarkEnd w:id="28"/>
        </w:tc>
      </w:tr>
    </w:tbl>
    <w:tbl>
      <w:tblPr>
        <w:tblStyle w:val="Table"/>
        <w:tblW w:type="pct" w:w="5000"/>
        <w:tblLayout w:type="fixed"/>
        <w:tblLook w:firstRow="0" w:lastRow="0" w:firstColumn="0" w:lastColumn="0" w:noHBand="0" w:noVBand="0" w:val="0000"/>
      </w:tblPr>
      <w:tblGrid>
        <w:gridCol w:w="7920"/>
      </w:tblGrid>
      <w:tr>
        <w:tc>
          <w:tcPr/>
          <w:bookmarkStart w:id="29" w:name="tbl-catch-all"/>
          <w:p>
            <w:pPr>
              <w:jc w:val="center"/>
            </w:pPr>
            <w:pPr>
              <w:jc w:val="start"/>
              <w:spacing w:before="200"/>
              <w:pStyle w:val="ImageCaption"/>
            </w:pPr>
            <w:r>
              <w:t xml:space="preserve">Table 2: Delta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33</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28</w:t>
                  </w:r>
                </w:p>
              </w:tc>
            </w:tr>
          </w:tbl>
          <w:bookmarkEnd w:id="29"/>
          <w:p/>
        </w:tc>
      </w:tr>
    </w:tbl>
    <w:tbl>
      <w:tblPr>
        <w:tblStyle w:val="Table"/>
        <w:tblW w:type="pct" w:w="5000"/>
        <w:tblLayout w:type="fixed"/>
        <w:tblLook w:firstRow="0" w:lastRow="0" w:firstColumn="0" w:lastColumn="0" w:noHBand="0" w:noVBand="0" w:val="0000"/>
      </w:tblPr>
      <w:tblGrid>
        <w:gridCol w:w="7920"/>
      </w:tblGrid>
      <w:tr>
        <w:tc>
          <w:tcPr/>
          <w:bookmarkStart w:id="33" w:name="fig-ds-catch"/>
          <w:p>
            <w:pPr>
              <w:pStyle w:val="Compact"/>
              <w:jc w:val="center"/>
            </w:pPr>
            <w:r>
              <w:drawing>
                <wp:inline>
                  <wp:extent cx="4576576" cy="3661261"/>
                  <wp:effectExtent b="0" l="0" r="0" t="0"/>
                  <wp:docPr descr="" title="" id="31" name="Picture"/>
                  <a:graphic>
                    <a:graphicData uri="http://schemas.openxmlformats.org/drawingml/2006/picture">
                      <pic:pic>
                        <pic:nvPicPr>
                          <pic:cNvPr descr="smt-assessment-v1_files/figure-docx/fig-ds-catch-1.png" id="32" name="Picture"/>
                          <pic:cNvPicPr>
                            <a:picLocks noChangeArrowheads="1" noChangeAspect="1"/>
                          </pic:cNvPicPr>
                        </pic:nvPicPr>
                        <pic:blipFill>
                          <a:blip r:embed="rId3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Time series of Delta smelt catch, WY 2026</w:t>
            </w:r>
          </w:p>
          <w:bookmarkEnd w:id="33"/>
        </w:tc>
      </w:tr>
    </w:tbl>
    <w:bookmarkEnd w:id="34"/>
    <w:bookmarkStart w:id="36" w:name="environmental"/>
    <w:p>
      <w:pPr>
        <w:pStyle w:val="Heading4"/>
      </w:pPr>
      <w:r>
        <w:t xml:space="preserve">Environmental</w:t>
      </w:r>
    </w:p>
    <w:bookmarkStart w:id="35" w:name="first-flush"/>
    <w:p>
      <w:pPr>
        <w:pStyle w:val="Heading5"/>
      </w:pPr>
      <w:r>
        <w:t xml:space="preserve">First Flush</w:t>
      </w:r>
    </w:p>
    <w:p>
      <w:pPr>
        <w:pStyle w:val="Compact"/>
        <w:numPr>
          <w:ilvl w:val="0"/>
          <w:numId w:val="1005"/>
        </w:numPr>
      </w:pPr>
      <w:r>
        <w:t xml:space="preserve">Implemented 12/25/25-01/7/26</w:t>
      </w:r>
    </w:p>
    <w:bookmarkEnd w:id="35"/>
    <w:bookmarkEnd w:id="36"/>
    <w:bookmarkStart w:id="40" w:name="real-time-assessment-thresholds"/>
    <w:p>
      <w:pPr>
        <w:pStyle w:val="Heading4"/>
      </w:pPr>
      <w:r>
        <w:t xml:space="preserve">Real-time Assessment Thresholds</w:t>
      </w:r>
    </w:p>
    <w:bookmarkStart w:id="38" w:name="adult-delta-smelt"/>
    <w:p>
      <w:pPr>
        <w:pStyle w:val="Heading5"/>
      </w:pPr>
      <w:r>
        <w:t xml:space="preserve">Adult Delta smelt</w:t>
      </w:r>
    </w:p>
    <w:p>
      <w:pPr>
        <w:numPr>
          <w:ilvl w:val="0"/>
          <w:numId w:val="1006"/>
        </w:numPr>
      </w:pPr>
      <w:r>
        <w:t xml:space="preserve">Adult Delta smelt action offramped on 02/12/2026</w:t>
      </w:r>
    </w:p>
    <w:p>
      <w:pPr>
        <w:numPr>
          <w:ilvl w:val="0"/>
          <w:numId w:val="1006"/>
        </w:numPr>
      </w:pPr>
      <w:r>
        <w:t xml:space="preserve">No adult Delta smelt action was taken in WY26</w:t>
      </w:r>
    </w:p>
    <w:p>
      <w:pPr>
        <w:pStyle w:val="Compact"/>
        <w:numPr>
          <w:ilvl w:val="0"/>
          <w:numId w:val="1007"/>
        </w:numPr>
      </w:pPr>
      <w:r>
        <w:t xml:space="preserve">See</w:t>
      </w:r>
      <w:r>
        <w:t xml:space="preserve"> </w:t>
      </w:r>
      <w:hyperlink r:id="rId37">
        <w:r>
          <w:rPr>
            <w:rStyle w:val="Hyperlink"/>
          </w:rPr>
          <w:t xml:space="preserve">Bay-Delta Live</w:t>
        </w:r>
      </w:hyperlink>
      <w:r>
        <w:t xml:space="preserve"> </w:t>
      </w:r>
      <w:r>
        <w:t xml:space="preserve">for recent Delta-wide turbidity conditions.</w:t>
      </w:r>
      <w:r>
        <w:t xml:space="preserve"> </w:t>
      </w:r>
    </w:p>
    <w:bookmarkEnd w:id="38"/>
    <w:bookmarkStart w:id="39" w:name="larvaljuvenile-delta-smelt"/>
    <w:p>
      <w:pPr>
        <w:pStyle w:val="Heading5"/>
      </w:pPr>
      <w:r>
        <w:t xml:space="preserve">Larval/juvenile Delta smelt</w:t>
      </w:r>
    </w:p>
    <w:p>
      <w:pPr>
        <w:pStyle w:val="FirstParagraph"/>
      </w:pPr>
      <w:r>
        <w:rPr>
          <w:b/>
          <w:bCs/>
        </w:rPr>
        <w:t xml:space="preserve">Threshold</w:t>
      </w:r>
      <w:r>
        <w:t xml:space="preserve">: After the onset of spawning, if JPF &lt; 0 cfs AND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Delta smelt population after 30 days</w:t>
      </w:r>
    </w:p>
    <w:p>
      <w:pPr>
        <w:pStyle w:val="Compact"/>
        <w:numPr>
          <w:ilvl w:val="0"/>
          <w:numId w:val="1008"/>
        </w:numPr>
      </w:pPr>
      <w:r>
        <w:rPr>
          <w:b/>
          <w:bCs/>
        </w:rPr>
        <w:t xml:space="preserve">12-station South Delta Turbidity</w:t>
      </w:r>
      <w:r>
        <w:t xml:space="preserve">: The most recent average turbidity was 5.7 FNU as of Feb 11, 2025</w:t>
      </w:r>
    </w:p>
    <w:bookmarkEnd w:id="39"/>
    <w:bookmarkEnd w:id="40"/>
    <w:bookmarkStart w:id="42" w:name="evaluation"/>
    <w:p>
      <w:pPr>
        <w:pStyle w:val="Heading4"/>
      </w:pPr>
      <w:r>
        <w:t xml:space="preserve">Evaluation</w:t>
      </w:r>
    </w:p>
    <w:p>
      <w:pPr>
        <w:pStyle w:val="FirstParagraph"/>
      </w:pPr>
      <w:r>
        <w:rPr>
          <w:b/>
          <w:bCs/>
        </w:rPr>
        <w:t xml:space="preserve">Delta smelt:</w:t>
      </w:r>
    </w:p>
    <w:p>
      <w:pPr>
        <w:numPr>
          <w:ilvl w:val="0"/>
          <w:numId w:val="1009"/>
        </w:numPr>
      </w:pPr>
      <w:r>
        <w:t xml:space="preserve">After the start of entrainment management, is JPF &lt; 0, is daily average turbidity ≥ 12 FNU in the OMR corridor (stations OBI, HOL, and OSJ)? Has the average water temperature at Jersey Point or Rio Vista not exceeded 53.6</w:t>
      </w:r>
      <m:oMath>
        <m:sSup>
          <m:e>
            <m:r>
              <m:t>​</m:t>
            </m:r>
          </m:e>
          <m:sup>
            <m:r>
              <m:rPr>
                <m:sty m:val="p"/>
              </m:rPr>
              <m:t>∘</m:t>
            </m:r>
          </m:sup>
        </m:sSup>
      </m:oMath>
      <w:r>
        <w:t xml:space="preserve">F (12</w:t>
      </w:r>
      <m:oMath>
        <m:sSup>
          <m:e>
            <m:r>
              <m:t>​</m:t>
            </m:r>
          </m:e>
          <m:sup>
            <m:r>
              <m:rPr>
                <m:sty m:val="p"/>
              </m:rPr>
              <m:t>∘</m:t>
            </m:r>
          </m:sup>
        </m:sSup>
      </m:oMath>
      <w:r>
        <w:t xml:space="preserve">C) for 3 consecutive days and/or has this action already been taken during WY 2026?</w:t>
      </w:r>
    </w:p>
    <w:p>
      <w:pPr>
        <w:numPr>
          <w:ilvl w:val="0"/>
          <w:numId w:val="1000"/>
        </w:numPr>
      </w:pPr>
      <w:r>
        <w:t xml:space="preserve">The adult Delta smelt entrainment action is not active and no action was taken in WY26.</w:t>
      </w:r>
      <w:r>
        <w:t xml:space="preserve"> </w:t>
      </w:r>
      <w:r>
        <w:t xml:space="preserve">Temperature at Jersey Point exceeded the threshold on February 12th, 2025. Jersey</w:t>
      </w:r>
      <w:r>
        <w:t xml:space="preserve"> </w:t>
      </w:r>
      <w:r>
        <w:t xml:space="preserve">Point 3-day average temperature was 12.05°C on February 10th, 12.09°C on February 11th,</w:t>
      </w:r>
      <w:r>
        <w:t xml:space="preserve"> </w:t>
      </w:r>
      <w:r>
        <w:t xml:space="preserve">and 12.13°C on February 12th.</w:t>
      </w:r>
    </w:p>
    <w:p>
      <w:pPr>
        <w:numPr>
          <w:ilvl w:val="0"/>
          <w:numId w:val="1009"/>
        </w:numPr>
      </w:pPr>
      <w:r>
        <w:t xml:space="preserve">What is the evidence for the onset of Delta smelt spawning?</w:t>
      </w:r>
    </w:p>
    <w:p>
      <w:pPr>
        <w:numPr>
          <w:ilvl w:val="0"/>
          <w:numId w:val="1000"/>
        </w:numPr>
      </w:pPr>
      <w:r>
        <w:t xml:space="preserve">Upstream migration for Delta smelt occurs between December and March and in response</w:t>
      </w:r>
      <w:r>
        <w:t xml:space="preserve"> </w:t>
      </w:r>
      <w:r>
        <w:t xml:space="preserve">to</w:t>
      </w:r>
      <w:r>
        <w:t xml:space="preserve"> </w:t>
      </w:r>
      <w:r>
        <w:t xml:space="preserve">“first flush”</w:t>
      </w:r>
      <w:r>
        <w:t xml:space="preserve"> </w:t>
      </w:r>
      <w:r>
        <w:t xml:space="preserve">conditions (Sommer et al., 2011; Grimaldo et al. 2009; 2021). Historically, detections</w:t>
      </w:r>
      <w:r>
        <w:t xml:space="preserve"> </w:t>
      </w:r>
      <w:r>
        <w:t xml:space="preserve">of ripe Delta smelt began in January and peaked in February and March and</w:t>
      </w:r>
      <w:r>
        <w:t xml:space="preserve"> </w:t>
      </w:r>
      <w:r>
        <w:t xml:space="preserve">the majority of Delta Smelt spawning occurs at 11-15˚C (but can occur from 8-18˚C) (Damon et al. 2016).</w:t>
      </w:r>
      <w:r>
        <w:t xml:space="preserve"> </w:t>
      </w:r>
      <w:r>
        <w:t xml:space="preserve">Based on</w:t>
      </w:r>
      <w:r>
        <w:t xml:space="preserve"> </w:t>
      </w:r>
      <w:hyperlink r:id="rId41">
        <w:r>
          <w:rPr>
            <w:rStyle w:val="Hyperlink"/>
          </w:rPr>
          <w:t xml:space="preserve">historical monitoring data</w:t>
        </w:r>
      </w:hyperlink>
      <w:r>
        <w:t xml:space="preserve"> </w:t>
      </w:r>
      <w:r>
        <w:t xml:space="preserve">from the past few years,</w:t>
      </w:r>
      <w:r>
        <w:t xml:space="preserve"> </w:t>
      </w:r>
      <w:r>
        <w:t xml:space="preserve">first detection of larvae in the Central and South Delta has typically occurred by mid to late March.</w:t>
      </w:r>
      <w:r>
        <w:t xml:space="preserve"> </w:t>
      </w:r>
      <w:r>
        <w:t xml:space="preserve">The large majority of Delta smelt recaptures continue to be from Suisun Marsh, close to</w:t>
      </w:r>
      <w:r>
        <w:t xml:space="preserve"> </w:t>
      </w:r>
      <w:r>
        <w:t xml:space="preserve">where supplemental fish were released in the fall.</w:t>
      </w:r>
    </w:p>
    <w:p>
      <w:pPr>
        <w:numPr>
          <w:ilvl w:val="0"/>
          <w:numId w:val="1009"/>
        </w:numPr>
      </w:pPr>
      <w:r>
        <w:t xml:space="preserve">After the onset of spawning, have the following conditions occurred: JPF &lt; 0 cfs, average turbidity is</w:t>
      </w:r>
      <w:r>
        <w:t xml:space="preserve"> </w:t>
      </w:r>
      <m:oMath>
        <m:r>
          <m:rPr>
            <m:sty m:val="p"/>
          </m:rPr>
          <m:t>≥</m:t>
        </m:r>
      </m:oMath>
      <w:r>
        <w:t xml:space="preserve"> </w:t>
      </w:r>
      <w:r>
        <w:t xml:space="preserve">12 FNU in the south Delta, and PTM modeling indicates the action would avoid</w:t>
      </w:r>
      <w:r>
        <w:t xml:space="preserve"> </w:t>
      </w:r>
      <m:oMath>
        <m:r>
          <m:rPr>
            <m:sty m:val="p"/>
          </m:rPr>
          <m:t>≥</m:t>
        </m:r>
      </m:oMath>
      <w:r>
        <w:t xml:space="preserve"> </w:t>
      </w:r>
      <w:r>
        <w:t xml:space="preserve">5% entrainment of the Delta smelt population at facilities after 30 days?</w:t>
      </w:r>
    </w:p>
    <w:p>
      <w:pPr>
        <w:numPr>
          <w:ilvl w:val="0"/>
          <w:numId w:val="1000"/>
        </w:numPr>
      </w:pPr>
      <w:r>
        <w:t xml:space="preserve">Although spawning may be occurring, JPF is above 0 cfs. SLS 5 is on the water this</w:t>
      </w:r>
      <w:r>
        <w:t xml:space="preserve"> </w:t>
      </w:r>
      <w:r>
        <w:t xml:space="preserve">week and will provide an updated average south Delta turbidity. Due to JPF &gt; 0 this week, the conditions required</w:t>
      </w:r>
      <w:r>
        <w:t xml:space="preserve"> </w:t>
      </w:r>
      <w:r>
        <w:t xml:space="preserve">to trigger larval and juvenile Delta smelt entrainment management will not be met. No Delta smelt larvae</w:t>
      </w:r>
      <w:r>
        <w:t xml:space="preserve"> </w:t>
      </w:r>
      <w:r>
        <w:t xml:space="preserve">have been captured in SLS surveys in WY26 to date. Therefore, if a Storm Flex were to be implemented this week, fates of particles</w:t>
      </w:r>
      <w:r>
        <w:t xml:space="preserve"> </w:t>
      </w:r>
      <w:r>
        <w:t xml:space="preserve">injected at Chipps Island or Cache Slough would be most relevant for larvae, as those locations are closest to recent adult distribution.</w:t>
      </w:r>
      <w:r>
        <w:t xml:space="preserve"> </w:t>
      </w:r>
      <w:r>
        <w:t xml:space="preserve">PTM with neutrally buoyant particles injected at Chipps Island and Cache Slough show 0% of particles entrained for the week ending 2/23/2026</w:t>
      </w:r>
      <w:r>
        <w:t xml:space="preserve"> </w:t>
      </w:r>
      <w:r>
        <w:t xml:space="preserve">for all OMR levels (-2,000, -3,500, -5,000, and -6,500 cfs). For week 2 (ending 3/02/2026), 0.1 and 0.3% of particles</w:t>
      </w:r>
      <w:r>
        <w:t xml:space="preserve"> </w:t>
      </w:r>
      <w:r>
        <w:t xml:space="preserve">were entrained at CVP and SWP, respectively, at OMRI of -6,500 cfs, and 0% for OMRI of -5,000 cfs (see Appendix A for details).</w:t>
      </w:r>
      <w:r>
        <w:t xml:space="preserve"> </w:t>
      </w:r>
      <w:r>
        <w:t xml:space="preserve">These results indicate that if Delta smelt larvae were present, the risk of entrainment under potential Stormflex operations would be low.</w:t>
      </w:r>
    </w:p>
    <w:bookmarkEnd w:id="42"/>
    <w:bookmarkEnd w:id="43"/>
    <w:bookmarkStart w:id="60" w:name="longfin-smelt"/>
    <w:p>
      <w:pPr>
        <w:pStyle w:val="Heading3"/>
      </w:pPr>
      <w:r>
        <w:t xml:space="preserve">Longfin smelt</w:t>
      </w:r>
    </w:p>
    <w:bookmarkStart w:id="54" w:name="biological-1"/>
    <w:p>
      <w:pPr>
        <w:pStyle w:val="Heading4"/>
      </w:pPr>
      <w:r>
        <w:t xml:space="preserve">Biological</w:t>
      </w:r>
    </w:p>
    <w:p>
      <w:pPr>
        <w:numPr>
          <w:ilvl w:val="0"/>
          <w:numId w:val="1010"/>
        </w:numPr>
      </w:pPr>
      <w:r>
        <w:rPr>
          <w:b/>
          <w:bCs/>
        </w:rPr>
        <w:t xml:space="preserve">Longfin smelt life stages:</w:t>
      </w:r>
      <w:r>
        <w:t xml:space="preserve"> </w:t>
      </w:r>
      <w:r>
        <w:t xml:space="preserve">Adult, Juvenile</w:t>
      </w:r>
    </w:p>
    <w:p>
      <w:pPr>
        <w:numPr>
          <w:ilvl w:val="0"/>
          <w:numId w:val="1010"/>
        </w:numPr>
      </w:pPr>
      <w:r>
        <w:rPr>
          <w:b/>
          <w:bCs/>
        </w:rPr>
        <w:t xml:space="preserve">Longfin smelt count:</w:t>
      </w:r>
      <w:r>
        <w:t xml:space="preserve"> </w:t>
      </w:r>
      <w:r>
        <w:t xml:space="preserve">412 adult, 972 juvenile, and 1776 larval longfin smelt have been detected this water year. See</w:t>
      </w:r>
      <w:r>
        <w:t xml:space="preserve"> </w:t>
      </w:r>
      <w:hyperlink w:anchor="tbl-lfs-recent-catch">
        <w:r>
          <w:rPr>
            <w:rStyle w:val="Hyperlink"/>
          </w:rPr>
          <w:t xml:space="preserve">Table 3</w:t>
        </w:r>
      </w:hyperlink>
      <w:r>
        <w:t xml:space="preserve"> </w:t>
      </w:r>
      <w:r>
        <w:t xml:space="preserve">for recent detections,</w:t>
      </w:r>
      <w:r>
        <w:t xml:space="preserve"> </w:t>
      </w:r>
      <w:hyperlink w:anchor="fig-lfs-map">
        <w:r>
          <w:rPr>
            <w:rStyle w:val="Hyperlink"/>
          </w:rPr>
          <w:t xml:space="preserve">Figure 3</w:t>
        </w:r>
      </w:hyperlink>
      <w:r>
        <w:t xml:space="preserve"> </w:t>
      </w:r>
      <w:r>
        <w:t xml:space="preserve">for spatial distribution, and</w:t>
      </w:r>
      <w:r>
        <w:t xml:space="preserve"> </w:t>
      </w:r>
      <w:hyperlink w:anchor="fig-lfs-catch">
        <w:r>
          <w:rPr>
            <w:rStyle w:val="Hyperlink"/>
          </w:rPr>
          <w:t xml:space="preserve">Figure 4</w:t>
        </w:r>
      </w:hyperlink>
      <w:r>
        <w:t xml:space="preserve"> </w:t>
      </w:r>
      <w:r>
        <w:t xml:space="preserve">for temporal distribution.</w:t>
      </w:r>
    </w:p>
    <w:p>
      <w:pPr>
        <w:numPr>
          <w:ilvl w:val="0"/>
          <w:numId w:val="1010"/>
        </w:numPr>
      </w:pPr>
      <w:r>
        <w:rPr>
          <w:b/>
          <w:bCs/>
        </w:rPr>
        <w:t xml:space="preserve">Longfin smelt salvage:</w:t>
      </w:r>
      <w:r>
        <w:t xml:space="preserve"> </w:t>
      </w:r>
      <w:r>
        <w:t xml:space="preserve">0 longfin smelt have been salvaged, and the cumulative seasonal salvage is 0.</w:t>
      </w:r>
      <w:r>
        <w:t xml:space="preserve"> </w:t>
      </w:r>
    </w:p>
    <w:tbl>
      <w:tblPr>
        <w:tblStyle w:val="Table"/>
        <w:tblW w:type="pct" w:w="5000"/>
        <w:tblLayout w:type="fixed"/>
        <w:tblLook w:firstRow="0" w:lastRow="0" w:firstColumn="0" w:lastColumn="0" w:noHBand="0" w:noVBand="0" w:val="0000"/>
      </w:tblPr>
      <w:tblGrid>
        <w:gridCol w:w="7920"/>
      </w:tblGrid>
      <w:tr>
        <w:tc>
          <w:tcPr/>
          <w:bookmarkStart w:id="44" w:name="tbl-lfs-recent-catch"/>
          <w:p>
            <w:pPr>
              <w:jc w:val="center"/>
            </w:pPr>
            <w:pPr>
              <w:jc w:val="start"/>
              <w:spacing w:before="200"/>
              <w:pStyle w:val="ImageCaption"/>
            </w:pPr>
            <w:r>
              <w:t xml:space="preserve">Table 3: Longfin smelt detections in the last 2 weeks. Fork Length &gt; 84mm = Adult, Fork Length 20-84mm = Juvenile, Fork Length &lt; 20mm = Larva.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Survey</w:t>
                  </w:r>
                </w:p>
              </w:tc>
              <w:tc>
                <w:tcPr/>
                <w:p>
                  <w:pPr>
                    <w:pStyle w:val="Compact"/>
                    <w:jc w:val="left"/>
                    <w:jc w:val="center"/>
                  </w:pPr>
                  <w:r>
                    <w:t xml:space="preserve">Date</w:t>
                  </w:r>
                </w:p>
              </w:tc>
              <w:tc>
                <w:tcPr/>
                <w:p>
                  <w:pPr>
                    <w:pStyle w:val="Compact"/>
                    <w:jc w:val="left"/>
                    <w:jc w:val="center"/>
                  </w:pPr>
                  <w:r>
                    <w:t xml:space="preserve">Region</w:t>
                  </w:r>
                </w:p>
              </w:tc>
              <w:tc>
                <w:tcPr/>
                <w:p>
                  <w:pPr>
                    <w:pStyle w:val="Compact"/>
                    <w:jc w:val="left"/>
                    <w:jc w:val="center"/>
                  </w:pPr>
                  <w:r>
                    <w:t xml:space="preserve">Stratum</w:t>
                  </w:r>
                </w:p>
              </w:tc>
              <w:tc>
                <w:tcPr/>
                <w:p>
                  <w:pPr>
                    <w:pStyle w:val="Compact"/>
                    <w:jc w:val="left"/>
                    <w:jc w:val="center"/>
                  </w:pPr>
                  <w:r>
                    <w:t xml:space="preserve">Life Stage</w:t>
                  </w:r>
                </w:p>
              </w:tc>
              <w:tc>
                <w:tcPr/>
                <w:p>
                  <w:pPr>
                    <w:pStyle w:val="Compact"/>
                    <w:jc w:val="right"/>
                    <w:jc w:val="center"/>
                  </w:pPr>
                  <w:r>
                    <w:t xml:space="preserve">Catch</w:t>
                  </w:r>
                </w:p>
              </w:tc>
            </w:tr>
            <w:tr>
              <w:tc>
                <w:tcPr/>
                <w:p>
                  <w:pPr>
                    <w:pStyle w:val="Compact"/>
                    <w:jc w:val="left"/>
                    <w:jc w:val="center"/>
                  </w:pPr>
                  <w:r>
                    <w:t xml:space="preserve">DJFMP</w:t>
                  </w:r>
                </w:p>
              </w:tc>
              <w:tc>
                <w:tcPr/>
                <w:p>
                  <w:pPr>
                    <w:pStyle w:val="Compact"/>
                    <w:jc w:val="left"/>
                    <w:jc w:val="center"/>
                  </w:pPr>
                  <w:r>
                    <w:t xml:space="preserve">2026-02-17</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2026-02-25</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DJFMP</w:t>
                  </w:r>
                </w:p>
              </w:tc>
              <w:tc>
                <w:tcPr/>
                <w:p>
                  <w:pPr>
                    <w:pStyle w:val="Compact"/>
                    <w:jc w:val="left"/>
                    <w:jc w:val="center"/>
                  </w:pPr>
                  <w:r>
                    <w:t xml:space="preserve">2026-02-25</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2026-02-26</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2026-02-26</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2026-02-27</w:t>
                  </w:r>
                </w:p>
              </w:tc>
              <w:tc>
                <w:tcPr/>
                <w:p>
                  <w:pPr>
                    <w:pStyle w:val="Compact"/>
                    <w:jc w:val="left"/>
                    <w:jc w:val="center"/>
                  </w:pPr>
                  <w:r>
                    <w:t xml:space="preserve">N/A</w:t>
                  </w:r>
                </w:p>
              </w:tc>
              <w:tc>
                <w:tcPr/>
                <w:p>
                  <w:pPr>
                    <w:pStyle w:val="Compact"/>
                    <w:jc w:val="left"/>
                    <w:jc w:val="center"/>
                  </w:pPr>
                  <w:r>
                    <w:t xml:space="preserve">Chipps Island</w:t>
                  </w:r>
                </w:p>
              </w:tc>
              <w:tc>
                <w:tcPr/>
                <w:p>
                  <w:pPr>
                    <w:pStyle w:val="Compact"/>
                    <w:jc w:val="left"/>
                    <w:jc w:val="center"/>
                  </w:pPr>
                  <w:r>
                    <w:t xml:space="preserve">Adult</w:t>
                  </w:r>
                </w:p>
              </w:tc>
              <w:tc>
                <w:tcPr/>
                <w:p>
                  <w:pPr>
                    <w:pStyle w:val="Compact"/>
                    <w:jc w:val="right"/>
                    <w:jc w:val="center"/>
                  </w:pPr>
                  <w:r>
                    <w:t xml:space="preserve">1</w:t>
                  </w:r>
                </w:p>
              </w:tc>
            </w:tr>
          </w:tbl>
          <w:bookmarkEnd w:id="44"/>
          <w:p/>
        </w:tc>
      </w:tr>
    </w:tbl>
    <w:tbl>
      <w:tblPr>
        <w:tblStyle w:val="Table"/>
        <w:tblW w:type="pct" w:w="5000"/>
        <w:tblLayout w:type="fixed"/>
        <w:tblLook w:firstRow="0" w:lastRow="0" w:firstColumn="0" w:lastColumn="0" w:noHBand="0" w:noVBand="0" w:val="0000"/>
      </w:tblPr>
      <w:tblGrid>
        <w:gridCol w:w="7920"/>
      </w:tblGrid>
      <w:tr>
        <w:tc>
          <w:tcPr/>
          <w:bookmarkStart w:id="48" w:name="fig-lfs-map"/>
          <w:p>
            <w:pPr>
              <w:pStyle w:val="Compact"/>
              <w:jc w:val="center"/>
            </w:pPr>
            <w:r>
              <w:drawing>
                <wp:inline>
                  <wp:extent cx="5943600" cy="5200649"/>
                  <wp:effectExtent b="0" l="0" r="0" t="0"/>
                  <wp:docPr descr="" title="" id="46" name="Picture"/>
                  <a:graphic>
                    <a:graphicData uri="http://schemas.openxmlformats.org/drawingml/2006/picture">
                      <pic:pic>
                        <pic:nvPicPr>
                          <pic:cNvPr descr="smt-assessment-v1_files/figure-docx/fig-lfs-map-1.png" id="47" name="Picture"/>
                          <pic:cNvPicPr>
                            <a:picLocks noChangeArrowheads="1" noChangeAspect="1"/>
                          </pic:cNvPicPr>
                        </pic:nvPicPr>
                        <pic:blipFill>
                          <a:blip r:embed="rId45"/>
                          <a:stretch>
                            <a:fillRect/>
                          </a:stretch>
                        </pic:blipFill>
                        <pic:spPr bwMode="auto">
                          <a:xfrm>
                            <a:off x="0" y="0"/>
                            <a:ext cx="5943600" cy="52006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Longfin Smelt Distribution for WY 2026</w:t>
            </w:r>
          </w:p>
          <w:bookmarkEnd w:id="48"/>
        </w:tc>
      </w:tr>
    </w:tbl>
    <w:tbl>
      <w:tblPr>
        <w:tblStyle w:val="Table"/>
        <w:tblW w:type="pct" w:w="5000"/>
        <w:tblLayout w:type="fixed"/>
        <w:tblLook w:firstRow="0" w:lastRow="0" w:firstColumn="0" w:lastColumn="0" w:noHBand="0" w:noVBand="0" w:val="0000"/>
      </w:tblPr>
      <w:tblGrid>
        <w:gridCol w:w="7920"/>
      </w:tblGrid>
      <w:tr>
        <w:tc>
          <w:tcPr/>
          <w:bookmarkStart w:id="49" w:name="tbl-lfs-catch-all"/>
          <w:p>
            <w:pPr>
              <w:jc w:val="center"/>
            </w:pPr>
            <w:pPr>
              <w:jc w:val="start"/>
              <w:spacing w:before="200"/>
              <w:pStyle w:val="ImageCaption"/>
            </w:pPr>
            <w:r>
              <w:t xml:space="preserve">Table 4: Longfin smelt water year totals by life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Survey</w:t>
                  </w:r>
                </w:p>
              </w:tc>
              <w:tc>
                <w:tcPr/>
                <w:p>
                  <w:pPr>
                    <w:pStyle w:val="Compact"/>
                    <w:jc w:val="left"/>
                    <w:jc w:val="center"/>
                  </w:pPr>
                  <w:r>
                    <w:t xml:space="preserve">Region</w:t>
                  </w:r>
                </w:p>
              </w:tc>
              <w:tc>
                <w:tcPr/>
                <w:p>
                  <w:pPr>
                    <w:pStyle w:val="Compact"/>
                    <w:jc w:val="left"/>
                    <w:jc w:val="center"/>
                  </w:pPr>
                  <w:r>
                    <w:t xml:space="preserve">Life Stage</w:t>
                  </w:r>
                </w:p>
              </w:tc>
              <w:tc>
                <w:tcPr/>
                <w:p>
                  <w:pPr>
                    <w:pStyle w:val="Compact"/>
                    <w:jc w:val="right"/>
                    <w:jc w:val="center"/>
                  </w:pPr>
                  <w:r>
                    <w:t xml:space="preserve">Total</w:t>
                  </w:r>
                </w:p>
              </w:tc>
            </w:tr>
            <w:tr>
              <w:tc>
                <w:tcPr/>
                <w:p>
                  <w:pPr>
                    <w:pStyle w:val="Compact"/>
                    <w:jc w:val="left"/>
                    <w:jc w:val="center"/>
                  </w:pPr>
                  <w:r>
                    <w:t xml:space="preserve">DJFMP</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248</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20</w:t>
                  </w:r>
                </w:p>
              </w:tc>
            </w:tr>
            <w:tr>
              <w:tc>
                <w:tcPr/>
                <w:p>
                  <w:pPr>
                    <w:pStyle w:val="Compact"/>
                    <w:jc w:val="left"/>
                    <w:jc w:val="center"/>
                  </w:pPr>
                  <w:r>
                    <w:t xml:space="preserve">DJFMP</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15</w:t>
                  </w:r>
                </w:p>
              </w:tc>
            </w:tr>
            <w:tr>
              <w:tc>
                <w:tcPr/>
                <w:p>
                  <w:pPr>
                    <w:pStyle w:val="Compact"/>
                    <w:jc w:val="left"/>
                    <w:jc w:val="center"/>
                  </w:pPr>
                  <w:r>
                    <w:t xml:space="preserve">EDSM</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61</w:t>
                  </w:r>
                </w:p>
              </w:tc>
            </w:tr>
            <w:tr>
              <w:tc>
                <w:tcPr/>
                <w:p>
                  <w:pPr>
                    <w:pStyle w:val="Compact"/>
                    <w:jc w:val="left"/>
                    <w:jc w:val="center"/>
                  </w:pPr>
                  <w:r>
                    <w:t xml:space="preserve">EDSM</w:t>
                  </w:r>
                </w:p>
              </w:tc>
              <w:tc>
                <w:tcPr/>
                <w:p>
                  <w:pPr>
                    <w:pStyle w:val="Compact"/>
                    <w:jc w:val="left"/>
                    <w:jc w:val="center"/>
                  </w:pPr>
                  <w:r>
                    <w:t xml:space="preserve">North</w:t>
                  </w:r>
                </w:p>
              </w:tc>
              <w:tc>
                <w:tcPr/>
                <w:p>
                  <w:pPr>
                    <w:pStyle w:val="Compact"/>
                    <w:jc w:val="left"/>
                    <w:jc w:val="center"/>
                  </w:pPr>
                  <w:r>
                    <w:t xml:space="preserve">Juvenile</w:t>
                  </w:r>
                </w:p>
              </w:tc>
              <w:tc>
                <w:tcPr/>
                <w:p>
                  <w:pPr>
                    <w:pStyle w:val="Compact"/>
                    <w:jc w:val="right"/>
                    <w:jc w:val="center"/>
                  </w:pPr>
                  <w:r>
                    <w:t xml:space="preserve">1</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80</w:t>
                  </w:r>
                </w:p>
              </w:tc>
            </w:tr>
            <w:tr>
              <w:tc>
                <w:tcPr/>
                <w:p>
                  <w:pPr>
                    <w:pStyle w:val="Compact"/>
                    <w:jc w:val="left"/>
                    <w:jc w:val="center"/>
                  </w:pPr>
                  <w:r>
                    <w:t xml:space="preserve">EDSM</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191</w:t>
                  </w:r>
                </w:p>
              </w:tc>
            </w:tr>
            <w:tr>
              <w:tc>
                <w:tcPr/>
                <w:p>
                  <w:pPr>
                    <w:pStyle w:val="Compact"/>
                    <w:jc w:val="left"/>
                    <w:jc w:val="center"/>
                  </w:pPr>
                  <w:r>
                    <w:t xml:space="preserve">FMWT</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1</w:t>
                  </w:r>
                </w:p>
              </w:tc>
            </w:tr>
            <w:tr>
              <w:tc>
                <w:tcPr/>
                <w:p>
                  <w:pPr>
                    <w:pStyle w:val="Compact"/>
                    <w:jc w:val="left"/>
                    <w:jc w:val="center"/>
                  </w:pPr>
                  <w:r>
                    <w:t xml:space="preserve">FMWT</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FMWT</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FMWT</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FMWT</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FMWT</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18</w:t>
                  </w:r>
                </w:p>
              </w:tc>
            </w:tr>
            <w:tr>
              <w:tc>
                <w:tcPr/>
                <w:p>
                  <w:pPr>
                    <w:pStyle w:val="Compact"/>
                    <w:jc w:val="left"/>
                    <w:jc w:val="center"/>
                  </w:pPr>
                  <w:r>
                    <w:t xml:space="preserve">FMWT</w:t>
                  </w:r>
                </w:p>
              </w:tc>
              <w:tc>
                <w:tcPr/>
                <w:p>
                  <w:pPr>
                    <w:pStyle w:val="Compact"/>
                    <w:jc w:val="left"/>
                    <w:jc w:val="center"/>
                  </w:pPr>
                  <w:r>
                    <w:t xml:space="preserve">NA</w:t>
                  </w:r>
                </w:p>
              </w:tc>
              <w:tc>
                <w:tcPr/>
                <w:p>
                  <w:pPr>
                    <w:pStyle w:val="Compact"/>
                    <w:jc w:val="left"/>
                    <w:jc w:val="center"/>
                  </w:pPr>
                  <w:r>
                    <w:t xml:space="preserve">Adult</w:t>
                  </w:r>
                </w:p>
              </w:tc>
              <w:tc>
                <w:tcPr/>
                <w:p>
                  <w:pPr>
                    <w:pStyle w:val="Compact"/>
                    <w:jc w:val="right"/>
                    <w:jc w:val="center"/>
                  </w:pPr>
                  <w:r>
                    <w:t xml:space="preserve">2</w:t>
                  </w:r>
                </w:p>
              </w:tc>
            </w:tr>
            <w:tr>
              <w:tc>
                <w:tcPr/>
                <w:p>
                  <w:pPr>
                    <w:pStyle w:val="Compact"/>
                    <w:jc w:val="left"/>
                    <w:jc w:val="center"/>
                  </w:pPr>
                  <w:r>
                    <w:t xml:space="preserve">FMWT</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28</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Adult</w:t>
                  </w:r>
                </w:p>
              </w:tc>
              <w:tc>
                <w:tcPr/>
                <w:p>
                  <w:pPr>
                    <w:pStyle w:val="Compact"/>
                    <w:jc w:val="right"/>
                    <w:jc w:val="center"/>
                  </w:pPr>
                  <w:r>
                    <w:t xml:space="preserve">39</w:t>
                  </w:r>
                </w:p>
              </w:tc>
            </w:tr>
            <w:tr>
              <w:tc>
                <w:tcPr/>
                <w:p>
                  <w:pPr>
                    <w:pStyle w:val="Compact"/>
                    <w:jc w:val="left"/>
                    <w:jc w:val="center"/>
                  </w:pPr>
                  <w:r>
                    <w:t xml:space="preserve">baystudy</w:t>
                  </w:r>
                </w:p>
              </w:tc>
              <w:tc>
                <w:tcPr/>
                <w:p>
                  <w:pPr>
                    <w:pStyle w:val="Compact"/>
                    <w:jc w:val="left"/>
                    <w:jc w:val="center"/>
                  </w:pPr>
                  <w:r>
                    <w:t xml:space="preserve">Bay</w:t>
                  </w:r>
                </w:p>
              </w:tc>
              <w:tc>
                <w:tcPr/>
                <w:p>
                  <w:pPr>
                    <w:pStyle w:val="Compact"/>
                    <w:jc w:val="left"/>
                    <w:jc w:val="center"/>
                  </w:pPr>
                  <w:r>
                    <w:t xml:space="preserve">Juvenile</w:t>
                  </w:r>
                </w:p>
              </w:tc>
              <w:tc>
                <w:tcPr/>
                <w:p>
                  <w:pPr>
                    <w:pStyle w:val="Compact"/>
                    <w:jc w:val="right"/>
                    <w:jc w:val="center"/>
                  </w:pPr>
                  <w:r>
                    <w:t xml:space="preserve">551</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Adult</w:t>
                  </w:r>
                </w:p>
              </w:tc>
              <w:tc>
                <w:tcPr/>
                <w:p>
                  <w:pPr>
                    <w:pStyle w:val="Compact"/>
                    <w:jc w:val="right"/>
                    <w:jc w:val="center"/>
                  </w:pPr>
                  <w:r>
                    <w:t xml:space="preserve">13</w:t>
                  </w:r>
                </w:p>
              </w:tc>
            </w:tr>
            <w:tr>
              <w:tc>
                <w:tcPr/>
                <w:p>
                  <w:pPr>
                    <w:pStyle w:val="Compact"/>
                    <w:jc w:val="left"/>
                    <w:jc w:val="center"/>
                  </w:pPr>
                  <w:r>
                    <w:t xml:space="preserve">baystudy</w:t>
                  </w:r>
                </w:p>
              </w:tc>
              <w:tc>
                <w:tcPr/>
                <w:p>
                  <w:pPr>
                    <w:pStyle w:val="Compact"/>
                    <w:jc w:val="left"/>
                    <w:jc w:val="center"/>
                  </w:pPr>
                  <w:r>
                    <w:t xml:space="preserve">Far West</w:t>
                  </w:r>
                </w:p>
              </w:tc>
              <w:tc>
                <w:tcPr/>
                <w:p>
                  <w:pPr>
                    <w:pStyle w:val="Compact"/>
                    <w:jc w:val="left"/>
                    <w:jc w:val="center"/>
                  </w:pPr>
                  <w:r>
                    <w:t xml:space="preserve">Juvenile</w:t>
                  </w:r>
                </w:p>
              </w:tc>
              <w:tc>
                <w:tcPr/>
                <w:p>
                  <w:pPr>
                    <w:pStyle w:val="Compact"/>
                    <w:jc w:val="right"/>
                    <w:jc w:val="center"/>
                  </w:pPr>
                  <w:r>
                    <w:t xml:space="preserve">56</w:t>
                  </w:r>
                </w:p>
              </w:tc>
            </w:tr>
            <w:tr>
              <w:tc>
                <w:tcPr/>
                <w:p>
                  <w:pPr>
                    <w:pStyle w:val="Compact"/>
                    <w:jc w:val="left"/>
                    <w:jc w:val="center"/>
                  </w:pPr>
                  <w:r>
                    <w:t xml:space="preserve">baystudy</w:t>
                  </w:r>
                </w:p>
              </w:tc>
              <w:tc>
                <w:tcPr/>
                <w:p>
                  <w:pPr>
                    <w:pStyle w:val="Compact"/>
                    <w:jc w:val="left"/>
                    <w:jc w:val="center"/>
                  </w:pPr>
                  <w:r>
                    <w:t xml:space="preserve">North</w:t>
                  </w:r>
                </w:p>
              </w:tc>
              <w:tc>
                <w:tcPr/>
                <w:p>
                  <w:pPr>
                    <w:pStyle w:val="Compact"/>
                    <w:jc w:val="left"/>
                    <w:jc w:val="center"/>
                  </w:pPr>
                  <w:r>
                    <w:t xml:space="preserve">Adult</w:t>
                  </w:r>
                </w:p>
              </w:tc>
              <w:tc>
                <w:tcPr/>
                <w:p>
                  <w:pPr>
                    <w:pStyle w:val="Compact"/>
                    <w:jc w:val="right"/>
                    <w:jc w:val="center"/>
                  </w:pPr>
                  <w:r>
                    <w:t xml:space="preserve">3</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Adult</w:t>
                  </w:r>
                </w:p>
              </w:tc>
              <w:tc>
                <w:tcPr/>
                <w:p>
                  <w:pPr>
                    <w:pStyle w:val="Compact"/>
                    <w:jc w:val="right"/>
                    <w:jc w:val="center"/>
                  </w:pPr>
                  <w:r>
                    <w:t xml:space="preserve">4</w:t>
                  </w:r>
                </w:p>
              </w:tc>
            </w:tr>
            <w:tr>
              <w:tc>
                <w:tcPr/>
                <w:p>
                  <w:pPr>
                    <w:pStyle w:val="Compact"/>
                    <w:jc w:val="left"/>
                    <w:jc w:val="center"/>
                  </w:pPr>
                  <w:r>
                    <w:t xml:space="preserve">baystudy</w:t>
                  </w:r>
                </w:p>
              </w:tc>
              <w:tc>
                <w:tcPr/>
                <w:p>
                  <w:pPr>
                    <w:pStyle w:val="Compact"/>
                    <w:jc w:val="left"/>
                    <w:jc w:val="center"/>
                  </w:pPr>
                  <w:r>
                    <w:t xml:space="preserve">West</w:t>
                  </w:r>
                </w:p>
              </w:tc>
              <w:tc>
                <w:tcPr/>
                <w:p>
                  <w:pPr>
                    <w:pStyle w:val="Compact"/>
                    <w:jc w:val="left"/>
                    <w:jc w:val="center"/>
                  </w:pPr>
                  <w:r>
                    <w:t xml:space="preserve">Juvenile</w:t>
                  </w:r>
                </w:p>
              </w:tc>
              <w:tc>
                <w:tcPr/>
                <w:p>
                  <w:pPr>
                    <w:pStyle w:val="Compact"/>
                    <w:jc w:val="right"/>
                    <w:jc w:val="center"/>
                  </w:pPr>
                  <w:r>
                    <w:t xml:space="preserve">14</w:t>
                  </w:r>
                </w:p>
              </w:tc>
            </w:tr>
            <w:tr>
              <w:tc>
                <w:tcPr/>
                <w:p>
                  <w:pPr>
                    <w:pStyle w:val="Compact"/>
                    <w:jc w:val="left"/>
                    <w:jc w:val="center"/>
                  </w:pPr>
                  <w:r>
                    <w:t xml:space="preserve">sls</w:t>
                  </w:r>
                </w:p>
              </w:tc>
              <w:tc>
                <w:tcPr/>
                <w:p>
                  <w:pPr>
                    <w:pStyle w:val="Compact"/>
                    <w:jc w:val="left"/>
                    <w:jc w:val="center"/>
                  </w:pPr>
                  <w:r>
                    <w:t xml:space="preserve">Bay</w:t>
                  </w:r>
                </w:p>
              </w:tc>
              <w:tc>
                <w:tcPr/>
                <w:p>
                  <w:pPr>
                    <w:pStyle w:val="Compact"/>
                    <w:jc w:val="left"/>
                    <w:jc w:val="center"/>
                  </w:pPr>
                  <w:r>
                    <w:t xml:space="preserve">Larva</w:t>
                  </w:r>
                </w:p>
              </w:tc>
              <w:tc>
                <w:tcPr/>
                <w:p>
                  <w:pPr>
                    <w:pStyle w:val="Compact"/>
                    <w:jc w:val="right"/>
                    <w:jc w:val="center"/>
                  </w:pPr>
                  <w:r>
                    <w:t xml:space="preserve">11</w:t>
                  </w:r>
                </w:p>
              </w:tc>
            </w:tr>
            <w:tr>
              <w:tc>
                <w:tcPr/>
                <w:p>
                  <w:pPr>
                    <w:pStyle w:val="Compact"/>
                    <w:jc w:val="left"/>
                    <w:jc w:val="center"/>
                  </w:pPr>
                  <w:r>
                    <w:t xml:space="preserve">sls</w:t>
                  </w:r>
                </w:p>
              </w:tc>
              <w:tc>
                <w:tcPr/>
                <w:p>
                  <w:pPr>
                    <w:pStyle w:val="Compact"/>
                    <w:jc w:val="left"/>
                    <w:jc w:val="center"/>
                  </w:pPr>
                  <w:r>
                    <w:t xml:space="preserve">Far West</w:t>
                  </w:r>
                </w:p>
              </w:tc>
              <w:tc>
                <w:tcPr/>
                <w:p>
                  <w:pPr>
                    <w:pStyle w:val="Compact"/>
                    <w:jc w:val="left"/>
                    <w:jc w:val="center"/>
                  </w:pPr>
                  <w:r>
                    <w:t xml:space="preserve">Larva</w:t>
                  </w:r>
                </w:p>
              </w:tc>
              <w:tc>
                <w:tcPr/>
                <w:p>
                  <w:pPr>
                    <w:pStyle w:val="Compact"/>
                    <w:jc w:val="right"/>
                    <w:jc w:val="center"/>
                  </w:pPr>
                  <w:r>
                    <w:t xml:space="preserve">949</w:t>
                  </w:r>
                </w:p>
              </w:tc>
            </w:tr>
            <w:tr>
              <w:tc>
                <w:tcPr/>
                <w:p>
                  <w:pPr>
                    <w:pStyle w:val="Compact"/>
                    <w:jc w:val="left"/>
                    <w:jc w:val="center"/>
                  </w:pPr>
                  <w:r>
                    <w:t xml:space="preserve">sls</w:t>
                  </w:r>
                </w:p>
              </w:tc>
              <w:tc>
                <w:tcPr/>
                <w:p>
                  <w:pPr>
                    <w:pStyle w:val="Compact"/>
                    <w:jc w:val="left"/>
                    <w:jc w:val="center"/>
                  </w:pPr>
                  <w:r>
                    <w:t xml:space="preserve">North</w:t>
                  </w:r>
                </w:p>
              </w:tc>
              <w:tc>
                <w:tcPr/>
                <w:p>
                  <w:pPr>
                    <w:pStyle w:val="Compact"/>
                    <w:jc w:val="left"/>
                    <w:jc w:val="center"/>
                  </w:pPr>
                  <w:r>
                    <w:t xml:space="preserve">Larva</w:t>
                  </w:r>
                </w:p>
              </w:tc>
              <w:tc>
                <w:tcPr/>
                <w:p>
                  <w:pPr>
                    <w:pStyle w:val="Compact"/>
                    <w:jc w:val="right"/>
                    <w:jc w:val="center"/>
                  </w:pPr>
                  <w:r>
                    <w:t xml:space="preserve">77</w:t>
                  </w:r>
                </w:p>
              </w:tc>
            </w:tr>
            <w:tr>
              <w:tc>
                <w:tcPr/>
                <w:p>
                  <w:pPr>
                    <w:pStyle w:val="Compact"/>
                    <w:jc w:val="left"/>
                    <w:jc w:val="center"/>
                  </w:pPr>
                  <w:r>
                    <w:t xml:space="preserve">sls</w:t>
                  </w:r>
                </w:p>
              </w:tc>
              <w:tc>
                <w:tcPr/>
                <w:p>
                  <w:pPr>
                    <w:pStyle w:val="Compact"/>
                    <w:jc w:val="left"/>
                    <w:jc w:val="center"/>
                  </w:pPr>
                  <w:r>
                    <w:t xml:space="preserve">South</w:t>
                  </w:r>
                </w:p>
              </w:tc>
              <w:tc>
                <w:tcPr/>
                <w:p>
                  <w:pPr>
                    <w:pStyle w:val="Compact"/>
                    <w:jc w:val="left"/>
                    <w:jc w:val="center"/>
                  </w:pPr>
                  <w:r>
                    <w:t xml:space="preserve">Larva</w:t>
                  </w:r>
                </w:p>
              </w:tc>
              <w:tc>
                <w:tcPr/>
                <w:p>
                  <w:pPr>
                    <w:pStyle w:val="Compact"/>
                    <w:jc w:val="right"/>
                    <w:jc w:val="center"/>
                  </w:pPr>
                  <w:r>
                    <w:t xml:space="preserve">45</w:t>
                  </w:r>
                </w:p>
              </w:tc>
            </w:tr>
            <w:tr>
              <w:tc>
                <w:tcPr/>
                <w:p>
                  <w:pPr>
                    <w:pStyle w:val="Compact"/>
                    <w:jc w:val="left"/>
                    <w:jc w:val="center"/>
                  </w:pPr>
                  <w:r>
                    <w:t xml:space="preserve">sls</w:t>
                  </w:r>
                </w:p>
              </w:tc>
              <w:tc>
                <w:tcPr/>
                <w:p>
                  <w:pPr>
                    <w:pStyle w:val="Compact"/>
                    <w:jc w:val="left"/>
                    <w:jc w:val="center"/>
                  </w:pPr>
                  <w:r>
                    <w:t xml:space="preserve">West</w:t>
                  </w:r>
                </w:p>
              </w:tc>
              <w:tc>
                <w:tcPr/>
                <w:p>
                  <w:pPr>
                    <w:pStyle w:val="Compact"/>
                    <w:jc w:val="left"/>
                    <w:jc w:val="center"/>
                  </w:pPr>
                  <w:r>
                    <w:t xml:space="preserve">Larva</w:t>
                  </w:r>
                </w:p>
              </w:tc>
              <w:tc>
                <w:tcPr/>
                <w:p>
                  <w:pPr>
                    <w:pStyle w:val="Compact"/>
                    <w:jc w:val="right"/>
                    <w:jc w:val="center"/>
                  </w:pPr>
                  <w:r>
                    <w:t xml:space="preserve">671</w:t>
                  </w:r>
                </w:p>
              </w:tc>
            </w:tr>
            <w:tr>
              <w:tc>
                <w:tcPr/>
                <w:p>
                  <w:pPr>
                    <w:pStyle w:val="Compact"/>
                    <w:jc w:val="left"/>
                    <w:jc w:val="center"/>
                  </w:pPr>
                  <w:r>
                    <w:t xml:space="preserve">sls</w:t>
                  </w:r>
                </w:p>
              </w:tc>
              <w:tc>
                <w:tcPr/>
                <w:p>
                  <w:pPr>
                    <w:pStyle w:val="Compact"/>
                    <w:jc w:val="left"/>
                    <w:jc w:val="center"/>
                  </w:pPr>
                  <w:r>
                    <w:t xml:space="preserve">NA</w:t>
                  </w:r>
                </w:p>
              </w:tc>
              <w:tc>
                <w:tcPr/>
                <w:p>
                  <w:pPr>
                    <w:pStyle w:val="Compact"/>
                    <w:jc w:val="left"/>
                    <w:jc w:val="center"/>
                  </w:pPr>
                  <w:r>
                    <w:t xml:space="preserve">Juvenile</w:t>
                  </w:r>
                </w:p>
              </w:tc>
              <w:tc>
                <w:tcPr/>
                <w:p>
                  <w:pPr>
                    <w:pStyle w:val="Compact"/>
                    <w:jc w:val="right"/>
                    <w:jc w:val="center"/>
                  </w:pPr>
                  <w:r>
                    <w:t xml:space="preserve">3</w:t>
                  </w:r>
                </w:p>
              </w:tc>
            </w:tr>
            <w:tr>
              <w:tc>
                <w:tcPr/>
                <w:p>
                  <w:pPr>
                    <w:pStyle w:val="Compact"/>
                    <w:jc w:val="left"/>
                    <w:jc w:val="center"/>
                  </w:pPr>
                  <w:r>
                    <w:t xml:space="preserve">sls</w:t>
                  </w:r>
                </w:p>
              </w:tc>
              <w:tc>
                <w:tcPr/>
                <w:p>
                  <w:pPr>
                    <w:pStyle w:val="Compact"/>
                    <w:jc w:val="left"/>
                    <w:jc w:val="center"/>
                  </w:pPr>
                  <w:r>
                    <w:t xml:space="preserve">NA</w:t>
                  </w:r>
                </w:p>
              </w:tc>
              <w:tc>
                <w:tcPr/>
                <w:p>
                  <w:pPr>
                    <w:pStyle w:val="Compact"/>
                    <w:jc w:val="left"/>
                    <w:jc w:val="center"/>
                  </w:pPr>
                  <w:r>
                    <w:t xml:space="preserve">Larva</w:t>
                  </w:r>
                </w:p>
              </w:tc>
              <w:tc>
                <w:tcPr/>
                <w:p>
                  <w:pPr>
                    <w:pStyle w:val="Compact"/>
                    <w:jc w:val="right"/>
                    <w:jc w:val="center"/>
                  </w:pPr>
                  <w:r>
                    <w:t xml:space="preserve">23</w:t>
                  </w:r>
                </w:p>
              </w:tc>
            </w:tr>
          </w:tbl>
          <w:bookmarkEnd w:id="49"/>
          <w:p/>
        </w:tc>
      </w:tr>
    </w:tbl>
    <w:tbl>
      <w:tblPr>
        <w:tblStyle w:val="Table"/>
        <w:tblW w:type="pct" w:w="5000"/>
        <w:tblLayout w:type="fixed"/>
        <w:tblLook w:firstRow="0" w:lastRow="0" w:firstColumn="0" w:lastColumn="0" w:noHBand="0" w:noVBand="0" w:val="0000"/>
      </w:tblPr>
      <w:tblGrid>
        <w:gridCol w:w="7920"/>
      </w:tblGrid>
      <w:tr>
        <w:tc>
          <w:tcPr/>
          <w:bookmarkStart w:id="53" w:name="fig-lfs-catch"/>
          <w:p>
            <w:pPr>
              <w:pStyle w:val="Compact"/>
              <w:jc w:val="center"/>
            </w:pPr>
            <w:r>
              <w:drawing>
                <wp:inline>
                  <wp:extent cx="4576576" cy="3661261"/>
                  <wp:effectExtent b="0" l="0" r="0" t="0"/>
                  <wp:docPr descr="" title="" id="51" name="Picture"/>
                  <a:graphic>
                    <a:graphicData uri="http://schemas.openxmlformats.org/drawingml/2006/picture">
                      <pic:pic>
                        <pic:nvPicPr>
                          <pic:cNvPr descr="smt-assessment-v1_files/figure-docx/fig-lfs-catch-1.png" id="52" name="Picture"/>
                          <pic:cNvPicPr>
                            <a:picLocks noChangeArrowheads="1" noChangeAspect="1"/>
                          </pic:cNvPicPr>
                        </pic:nvPicPr>
                        <pic:blipFill>
                          <a:blip r:embed="rId50"/>
                          <a:stretch>
                            <a:fillRect/>
                          </a:stretch>
                        </pic:blipFill>
                        <pic:spPr bwMode="auto">
                          <a:xfrm>
                            <a:off x="0" y="0"/>
                            <a:ext cx="4576576" cy="36612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Time series of longfin smelt catch, WY 2026</w:t>
            </w:r>
          </w:p>
          <w:bookmarkEnd w:id="53"/>
        </w:tc>
      </w:tr>
    </w:tbl>
    <w:bookmarkEnd w:id="54"/>
    <w:bookmarkStart w:id="58" w:name="real-time-assessment-thresholds-1"/>
    <w:p>
      <w:pPr>
        <w:pStyle w:val="Heading4"/>
      </w:pPr>
      <w:r>
        <w:t xml:space="preserve">Real-time Assessment Thresholds</w:t>
      </w:r>
    </w:p>
    <w:bookmarkStart w:id="55" w:name="X20cb4fe57c6f57bc33c1a6af910e71e88796402"/>
    <w:p>
      <w:pPr>
        <w:pStyle w:val="Heading5"/>
      </w:pPr>
      <w:r>
        <w:t xml:space="preserve">Start of Entrainment Management (Adult Longfin Smelt)</w:t>
      </w:r>
    </w:p>
    <w:p>
      <w:pPr>
        <w:pStyle w:val="Compact"/>
        <w:numPr>
          <w:ilvl w:val="0"/>
          <w:numId w:val="1011"/>
        </w:numPr>
      </w:pPr>
      <w:r>
        <w:t xml:space="preserve">This action was not taken in WY26</w:t>
      </w:r>
    </w:p>
    <w:bookmarkEnd w:id="55"/>
    <w:bookmarkStart w:id="56" w:name="adult-longfin-smelt"/>
    <w:p>
      <w:pPr>
        <w:pStyle w:val="Heading5"/>
      </w:pPr>
      <w:r>
        <w:t xml:space="preserve">Adult longfin smelt</w:t>
      </w:r>
    </w:p>
    <w:p>
      <w:pPr>
        <w:pStyle w:val="Compact"/>
        <w:numPr>
          <w:ilvl w:val="0"/>
          <w:numId w:val="1012"/>
        </w:numPr>
      </w:pPr>
      <w:r>
        <w:rPr>
          <w:b/>
          <w:bCs/>
        </w:rPr>
        <w:t xml:space="preserve">Threshold:</w:t>
      </w:r>
      <w:r>
        <w:t xml:space="preserve"> </w:t>
      </w:r>
      <w:r>
        <w:t xml:space="preserve">JPF &lt; 0 cfs, annual loss is on a trajectory to exceed 5% of the adult population abundance, and reduced exports will reduce entrainment in the south Delta</w:t>
      </w:r>
    </w:p>
    <w:p>
      <w:pPr>
        <w:pStyle w:val="Compact"/>
        <w:numPr>
          <w:ilvl w:val="1"/>
          <w:numId w:val="1013"/>
        </w:numPr>
      </w:pPr>
      <w:r>
        <w:t xml:space="preserve">Daily average JPF: 9,820 cfs as of Mar 01, 2026</w:t>
      </w:r>
    </w:p>
    <w:p>
      <w:pPr>
        <w:pStyle w:val="Compact"/>
        <w:numPr>
          <w:ilvl w:val="1"/>
          <w:numId w:val="1013"/>
        </w:numPr>
      </w:pPr>
      <w:r>
        <w:t xml:space="preserve">Adult abundance (Age 1+ LFS index): 2479.2 fish</w:t>
      </w:r>
    </w:p>
    <w:p>
      <w:pPr>
        <w:pStyle w:val="Compact"/>
        <w:numPr>
          <w:ilvl w:val="2"/>
          <w:numId w:val="1014"/>
        </w:numPr>
      </w:pPr>
      <w:r>
        <w:t xml:space="preserve">5% of abundance + 1: 125.0</w:t>
      </w:r>
    </w:p>
    <w:p>
      <w:pPr>
        <w:pStyle w:val="Compact"/>
        <w:numPr>
          <w:ilvl w:val="1"/>
          <w:numId w:val="1013"/>
        </w:numPr>
      </w:pPr>
      <w:r>
        <w:t xml:space="preserve">Water year total adult longfin smelt salvage = 0</w:t>
      </w:r>
    </w:p>
    <w:bookmarkEnd w:id="56"/>
    <w:bookmarkStart w:id="57" w:name="larvaljuvenile-longfin-smelt"/>
    <w:p>
      <w:pPr>
        <w:pStyle w:val="Heading5"/>
      </w:pPr>
      <w:r>
        <w:t xml:space="preserve">Larval/juvenile longfin smelt</w:t>
      </w:r>
    </w:p>
    <w:p>
      <w:pPr>
        <w:pStyle w:val="Compact"/>
        <w:numPr>
          <w:ilvl w:val="0"/>
          <w:numId w:val="1015"/>
        </w:numPr>
      </w:pPr>
      <w:r>
        <w:rPr>
          <w:b/>
          <w:bCs/>
        </w:rPr>
        <w:t xml:space="preserve">Threshold:</w:t>
      </w:r>
      <w:r>
        <w:t xml:space="preserve"> </w:t>
      </w:r>
      <w:r>
        <w:t xml:space="preserve">JPF &lt; 0 cfs AND population model demonstrates need to reduce entrainment to avoid population decline</w:t>
      </w:r>
    </w:p>
    <w:p>
      <w:pPr>
        <w:pStyle w:val="Compact"/>
        <w:numPr>
          <w:ilvl w:val="1"/>
          <w:numId w:val="1016"/>
        </w:numPr>
      </w:pPr>
      <w:r>
        <w:t xml:space="preserve">Daily average JPF: 9,820 cfs as of Mar 01, 2026</w:t>
      </w:r>
    </w:p>
    <w:bookmarkEnd w:id="57"/>
    <w:bookmarkEnd w:id="58"/>
    <w:bookmarkStart w:id="59" w:name="evaluation-1"/>
    <w:p>
      <w:pPr>
        <w:pStyle w:val="Heading4"/>
      </w:pPr>
      <w:r>
        <w:t xml:space="preserve">Evaluation</w:t>
      </w:r>
    </w:p>
    <w:p>
      <w:pPr>
        <w:pStyle w:val="FirstParagraph"/>
      </w:pPr>
      <w:r>
        <w:rPr>
          <w:b/>
          <w:bCs/>
        </w:rPr>
        <w:t xml:space="preserve">Longfin smelt:</w:t>
      </w:r>
    </w:p>
    <w:p>
      <w:pPr>
        <w:numPr>
          <w:ilvl w:val="0"/>
          <w:numId w:val="1017"/>
        </w:numPr>
      </w:pPr>
      <w:r>
        <w:t xml:space="preserve">If JPF &lt; 0, what is the trajectory of annual loss of adult longfin smelt and is it likely to exceed 5% of the adult population estimate? Is South Delta entrainment expected to decrease due to a reduction in export pumping?</w:t>
      </w:r>
    </w:p>
    <w:p>
      <w:pPr>
        <w:numPr>
          <w:ilvl w:val="0"/>
          <w:numId w:val="1000"/>
        </w:numPr>
      </w:pPr>
      <w:r>
        <w:t xml:space="preserve">JPF is &gt; 0 cfs and no adult longfin smelt have been detected in</w:t>
      </w:r>
      <w:r>
        <w:t xml:space="preserve"> </w:t>
      </w:r>
      <w:r>
        <w:t xml:space="preserve">salvage, indicating annual loss has not begun to approach the 5% regulatory threshold.</w:t>
      </w:r>
    </w:p>
    <w:p>
      <w:pPr>
        <w:numPr>
          <w:ilvl w:val="0"/>
          <w:numId w:val="1017"/>
        </w:numPr>
      </w:pPr>
      <w:r>
        <w:t xml:space="preserve">For larval and juvenile longfin smelt, if JPF &lt; 0 cfs, do particle tracking models show a moderate to high difference in particle fates across different OMRI scenarios? Does Zone of Influence modeling show moderate to high changes in hydrodynamic footprint across different OMRI scenarios? Are these effects anticipated to cause a population decline?</w:t>
      </w:r>
    </w:p>
    <w:p>
      <w:pPr>
        <w:numPr>
          <w:ilvl w:val="0"/>
          <w:numId w:val="1000"/>
        </w:numPr>
      </w:pPr>
      <w:r>
        <w:t xml:space="preserve">JPF is currently not less than 0 cfs and is not predicted to drop below 0 cfs this week.</w:t>
      </w:r>
      <w:r>
        <w:t xml:space="preserve"> </w:t>
      </w:r>
      <w:r>
        <w:t xml:space="preserve">Zone of Influence modeling indicates low differences in the hydrodynamic</w:t>
      </w:r>
      <w:r>
        <w:t xml:space="preserve"> </w:t>
      </w:r>
      <w:r>
        <w:t xml:space="preserve">footprint across OMRI scenarios, with no change between current and forecasted conditions.</w:t>
      </w:r>
      <w:r>
        <w:t xml:space="preserve"> </w:t>
      </w:r>
      <w:r>
        <w:t xml:space="preserve">If a Stormflex action were implemented, population-based PTM results, summarized in</w:t>
      </w:r>
      <w:r>
        <w:t xml:space="preserve"> </w:t>
      </w:r>
      <w:r>
        <w:t xml:space="preserve">Appendix A, project low larval entrainment relative to estimated abundance.</w:t>
      </w:r>
      <w:r>
        <w:t xml:space="preserve"> </w:t>
      </w:r>
      <w:r>
        <w:t xml:space="preserve">Modeled losses are approximately &lt;0.1% under OMRI of both –5,000 and –6,500 cfs</w:t>
      </w:r>
      <w:r>
        <w:t xml:space="preserve"> </w:t>
      </w:r>
      <w:r>
        <w:t xml:space="preserve">this week. For the week ending in 3/02/2026, larval entrainment is projected to be 0.2% and 0.3% of the</w:t>
      </w:r>
      <w:r>
        <w:t xml:space="preserve"> </w:t>
      </w:r>
      <w:r>
        <w:t xml:space="preserve">larval LFS population at an OMRI of -5,000 and -6,500 cfs, respectively. These projected losses</w:t>
      </w:r>
      <w:r>
        <w:t xml:space="preserve"> </w:t>
      </w:r>
      <w:r>
        <w:t xml:space="preserve">remain below levels suggesting population decline.</w:t>
      </w:r>
    </w:p>
    <w:p>
      <w:pPr>
        <w:numPr>
          <w:ilvl w:val="0"/>
          <w:numId w:val="1017"/>
        </w:numPr>
      </w:pPr>
      <w:r>
        <w:t xml:space="preserve">Is there additional information or other analyses that should be considered in this evaluation?</w:t>
      </w:r>
    </w:p>
    <w:p>
      <w:pPr>
        <w:numPr>
          <w:ilvl w:val="0"/>
          <w:numId w:val="1000"/>
        </w:numPr>
      </w:pPr>
      <w:r>
        <w:t xml:space="preserve">Please see Appendix A for additional information.</w:t>
      </w:r>
    </w:p>
    <w:bookmarkEnd w:id="59"/>
    <w:bookmarkEnd w:id="60"/>
    <w:bookmarkStart w:id="61" w:name="end-of-smelt-entrainment-management"/>
    <w:p>
      <w:pPr>
        <w:pStyle w:val="Heading3"/>
      </w:pPr>
      <w:r>
        <w:t xml:space="preserve">End of smelt Entrainment Management</w:t>
      </w:r>
    </w:p>
    <w:p>
      <w:pPr>
        <w:pStyle w:val="Compact"/>
        <w:numPr>
          <w:ilvl w:val="0"/>
          <w:numId w:val="1018"/>
        </w:numPr>
      </w:pPr>
      <w:r>
        <w:t xml:space="preserve">Not relevant</w:t>
      </w:r>
    </w:p>
    <w:bookmarkEnd w:id="61"/>
    <w:bookmarkStart w:id="67" w:name="references"/>
    <w:p>
      <w:pPr>
        <w:pStyle w:val="Heading3"/>
      </w:pPr>
      <w:r>
        <w:t xml:space="preserve">References</w:t>
      </w:r>
    </w:p>
    <w:bookmarkStart w:id="66" w:name="refs"/>
    <w:bookmarkStart w:id="62" w:name="ref-damon2016"/>
    <w:p>
      <w:pPr>
        <w:pStyle w:val="Bibliography"/>
      </w:pPr>
      <w:r>
        <w:t xml:space="preserve">Damon, L. J., Slater, S. B., Baxter, R. D., &amp; Fujimura, R. W. (2016). Fecundity and reproductive potential of wild female delta smelt in the upper san francisco estuary, california.</w:t>
      </w:r>
      <w:r>
        <w:t xml:space="preserve"> </w:t>
      </w:r>
      <w:r>
        <w:rPr>
          <w:i/>
          <w:iCs/>
        </w:rPr>
        <w:t xml:space="preserve">California Fish and Game</w:t>
      </w:r>
      <w:r>
        <w:t xml:space="preserve">,</w:t>
      </w:r>
      <w:r>
        <w:t xml:space="preserve"> </w:t>
      </w:r>
      <w:r>
        <w:rPr>
          <w:i/>
          <w:iCs/>
        </w:rPr>
        <w:t xml:space="preserve">102</w:t>
      </w:r>
      <w:r>
        <w:t xml:space="preserve">(4), 188–210.</w:t>
      </w:r>
    </w:p>
    <w:bookmarkEnd w:id="62"/>
    <w:bookmarkStart w:id="63" w:name="ref-grimaldo2021"/>
    <w:p>
      <w:pPr>
        <w:pStyle w:val="Bibliography"/>
      </w:pPr>
      <w:r>
        <w:t xml:space="preserve">Grimaldo, L. F., Smith, W. E., &amp; Nobriga, M. L. (2021). Re-examining factors that affect delta smelt (hypomesus transpacificus) entrainment at the state water project and central valley project in the sacramento–san joaquin delta.</w:t>
      </w:r>
      <w:r>
        <w:t xml:space="preserve"> </w:t>
      </w:r>
      <w:r>
        <w:rPr>
          <w:i/>
          <w:iCs/>
        </w:rPr>
        <w:t xml:space="preserve">San Francisco Estuary and Watershed Science</w:t>
      </w:r>
      <w:r>
        <w:t xml:space="preserve">,</w:t>
      </w:r>
      <w:r>
        <w:t xml:space="preserve"> </w:t>
      </w:r>
      <w:r>
        <w:rPr>
          <w:i/>
          <w:iCs/>
        </w:rPr>
        <w:t xml:space="preserve">19</w:t>
      </w:r>
      <w:r>
        <w:t xml:space="preserve">(1).</w:t>
      </w:r>
    </w:p>
    <w:bookmarkEnd w:id="63"/>
    <w:bookmarkStart w:id="64" w:name="ref-grimaldo2009"/>
    <w:p>
      <w:pPr>
        <w:pStyle w:val="Bibliography"/>
      </w:pPr>
      <w:r>
        <w:t xml:space="preserve">Grimaldo, L. F., Sommer, T., Van Ark, N., Jones, G., Holland, E., Moyle, P. B., Herbold, B., &amp; Smith, P. (2009). Factors affecting fish entrainment into massive water diversions in a tidal freshwater estuary: Can fish losses be managed?</w:t>
      </w:r>
      <w:r>
        <w:t xml:space="preserve"> </w:t>
      </w:r>
      <w:r>
        <w:rPr>
          <w:i/>
          <w:iCs/>
        </w:rPr>
        <w:t xml:space="preserve">North American Journal of Fisheries Management</w:t>
      </w:r>
      <w:r>
        <w:t xml:space="preserve">,</w:t>
      </w:r>
      <w:r>
        <w:t xml:space="preserve"> </w:t>
      </w:r>
      <w:r>
        <w:rPr>
          <w:i/>
          <w:iCs/>
        </w:rPr>
        <w:t xml:space="preserve">29</w:t>
      </w:r>
      <w:r>
        <w:t xml:space="preserve">(5), 1253–1270.</w:t>
      </w:r>
    </w:p>
    <w:bookmarkEnd w:id="64"/>
    <w:bookmarkStart w:id="65" w:name="ref-sommer2011"/>
    <w:p>
      <w:pPr>
        <w:pStyle w:val="Bibliography"/>
      </w:pPr>
      <w:r>
        <w:t xml:space="preserve">Sommer, T., Mejia, F. H., Nobriga, M. L., Feyrer, F., &amp; Grimaldo, L. (2011). The spawning migration of delta smelt in the upper san francisco estuary.</w:t>
      </w:r>
      <w:r>
        <w:t xml:space="preserve"> </w:t>
      </w:r>
      <w:r>
        <w:rPr>
          <w:i/>
          <w:iCs/>
        </w:rPr>
        <w:t xml:space="preserve">San Francisco Estuary and Watershed Science</w:t>
      </w:r>
      <w:r>
        <w:t xml:space="preserve">,</w:t>
      </w:r>
      <w:r>
        <w:t xml:space="preserve"> </w:t>
      </w:r>
      <w:r>
        <w:rPr>
          <w:i/>
          <w:iCs/>
        </w:rPr>
        <w:t xml:space="preserve">9</w:t>
      </w:r>
      <w:r>
        <w:t xml:space="preserve">(2).</w:t>
      </w:r>
    </w:p>
    <w:bookmarkEnd w:id="65"/>
    <w:bookmarkEnd w:id="66"/>
    <w:bookmarkEnd w:id="67"/>
    <w:bookmarkEnd w:id="68"/>
    <w:sectPr w:rsidR="006E75FE">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7F76D" w14:textId="77777777" w:rsidR="00497B28" w:rsidRDefault="0049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071887"/>
      <w:docPartObj>
        <w:docPartGallery w:val="Page Numbers (Bottom of Page)"/>
        <w:docPartUnique/>
      </w:docPartObj>
    </w:sdtPr>
    <w:sdtEndPr>
      <w:rPr>
        <w:noProof/>
      </w:rPr>
    </w:sdtEndPr>
    <w:sdtContent>
      <w:p w14:paraId="2D32306A" w14:textId="7B292407" w:rsidR="00497B28" w:rsidRDefault="00497B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01F785" w14:textId="77777777" w:rsidR="00497B28" w:rsidRDefault="0049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11C14" w14:textId="77777777" w:rsidR="00497B28" w:rsidRDefault="00497B28">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77C24" w14:textId="77777777" w:rsidR="00497B28" w:rsidRDefault="0049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5F43F" w14:textId="77777777" w:rsidR="00497B28" w:rsidRDefault="00497B2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68535" w14:textId="77777777" w:rsidR="00497B28" w:rsidRDefault="00497B28">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B72EDB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25778032"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7395"/>
    <w:rsid w:val="001C2334"/>
    <w:rsid w:val="0044176F"/>
    <w:rsid w:val="00497B28"/>
    <w:rsid w:val="005A2AF6"/>
    <w:rsid w:val="006E75FE"/>
    <w:rsid w:val="00AC7395"/>
    <w:rsid w:val="00E40A4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497B28"/>
    <w:pPr>
      <w:tabs>
        <w:tab w:pos="4680" w:val="center"/>
        <w:tab w:pos="9360" w:val="right"/>
      </w:tabs>
      <w:spacing w:after="0"/>
    </w:pPr>
  </w:style>
  <w:style w:customStyle="1" w:styleId="HeaderChar" w:type="character">
    <w:name w:val="Header Char"/>
    <w:basedOn w:val="DefaultParagraphFont"/>
    <w:link w:val="Header"/>
    <w:rsid w:val="00497B28"/>
  </w:style>
  <w:style w:styleId="Footer" w:type="paragraph">
    <w:name w:val="footer"/>
    <w:basedOn w:val="Normal"/>
    <w:link w:val="FooterChar"/>
    <w:uiPriority w:val="99"/>
    <w:rsid w:val="00497B28"/>
    <w:pPr>
      <w:tabs>
        <w:tab w:pos="4680" w:val="center"/>
        <w:tab w:pos="9360" w:val="right"/>
      </w:tabs>
      <w:spacing w:after="0"/>
    </w:pPr>
  </w:style>
  <w:style w:customStyle="1" w:styleId="FooterChar" w:type="character">
    <w:name w:val="Footer Char"/>
    <w:basedOn w:val="DefaultParagraphFont"/>
    <w:link w:val="Footer"/>
    <w:uiPriority w:val="99"/>
    <w:rsid w:val="00497B2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hyperlink" Id="rId41" Target="https://github.com/Delta-Stewardship-Council/deltafish" TargetMode="External" /><Relationship Type="http://schemas.openxmlformats.org/officeDocument/2006/relationships/hyperlink" Id="rId37"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_rels/footnotes.xml.rels><?xml version="1.0" encoding="UTF-8"?><Relationships xmlns="http://schemas.openxmlformats.org/package/2006/relationships"><Relationship Type="http://schemas.openxmlformats.org/officeDocument/2006/relationships/hyperlink" Id="rId41" Target="https://github.com/Delta-Stewardship-Council/deltafish" TargetMode="External" /><Relationship Type="http://schemas.openxmlformats.org/officeDocument/2006/relationships/hyperlink" Id="rId37" Target="https://www.baydeltalive.com/current_conditions/constituent-tracker-turbidity" TargetMode="External" /><Relationship Type="http://schemas.openxmlformats.org/officeDocument/2006/relationships/hyperlink" Id="rId23" Target="https://www.cbr.washington.edu/sacramento/data/query_salvage_hrt.html" TargetMode="External" /><Relationship Type="http://schemas.openxmlformats.org/officeDocument/2006/relationships/hyperlink" Id="rId21" Target="https://www.cbr.washington.edu/sacramento/workgroups/delta_smel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210</Words>
  <Characters>1327</Characters>
  <Application>Microsoft Office Word</Application>
  <DocSecurity>0</DocSecurity>
  <Lines>47</Lines>
  <Paragraphs>39</Paragraphs>
  <ScaleCrop>false</ScaleCrop>
  <Company/>
  <LinksUpToDate>false</LinksUpToDate>
  <CharactersWithSpaces>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2026-03-02T17:49:16Z</dcterms:created>
  <dcterms:modified xsi:type="dcterms:W3CDTF">2026-03-02T17:49:16Z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smelt.refs.bib</vt:lpwstr>
  </property>
  <property fmtid="{D5CDD505-2E9C-101B-9397-08002B2CF9AE}" pid="4" name="csl">
    <vt:lpwstr>apa.csl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ocite">
    <vt:lpwstr>@*</vt:lpwstr>
  </property>
  <property fmtid="{D5CDD505-2E9C-101B-9397-08002B2CF9AE}" pid="11" name="toc-title">
    <vt:lpwstr>Table of contents</vt:lpwstr>
  </property>
</Properties>
</file>