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Hi all,</w:t>
      </w:r>
    </w:p>
    <w:p>
      <w:pPr>
        <w:pStyle w:val="BodyText"/>
      </w:pPr>
      <w:r>
        <w:t xml:space="preserve">Please see summary of most recent loss estimates at salvage facilities. Total annual loss of natural Winter-run Chinook Salmon as of March 06, 2025 is</w:t>
      </w:r>
      <w:r>
        <w:t xml:space="preserve"> </w:t>
      </w:r>
      <w:r>
        <w:rPr>
          <w:bCs/>
          <w:b/>
        </w:rPr>
        <w:t xml:space="preserve">10.34</w:t>
      </w:r>
      <w:r>
        <w:t xml:space="preserve">. Total annual loss of CCV steelhead as of March 06, 2025 is</w:t>
      </w:r>
      <w:r>
        <w:t xml:space="preserve"> </w:t>
      </w:r>
      <w:r>
        <w:rPr>
          <w:bCs/>
          <w:b/>
        </w:rPr>
        <w:t xml:space="preserve">209.39</w:t>
      </w:r>
      <w:r>
        <w:t xml:space="preserve">. There have been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triggers of the Winter-run and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triggers of the steelhead distributed weekly loss thresholds in the past week (see table).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weekly_summary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2025-03-07T20:52:02Z</dcterms:created>
  <dcterms:modified xsi:type="dcterms:W3CDTF">2025-03-07T20:52:02Z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