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4.png" ContentType="image/png"/>
  <Override PartName="/word/media/rId41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WINTER-RUN GRAPHS</w:t>
      </w:r>
    </w:p>
    <w:p>
      <w:pPr>
        <w:pStyle w:val="BodyText"/>
      </w:pPr>
      <w:r>
        <w:t xml:space="preserve">Figure. Cumulative Count of current and historic Genetic WR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Histogram of historic genetic winter-run salvage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Summary of WY 2025 loss of CCV steelhead and wild and hatchery winter-run</w:t>
      </w:r>
      <w:r>
        <w:t xml:space="preserve"> </w:t>
      </w:r>
      <w:r>
        <w:drawing>
          <wp:inline>
            <wp:extent cx="5334000" cy="6667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Tillotson predictions at different OMRI scenarios</w:t>
      </w:r>
      <w:r>
        <w:t xml:space="preserve"> </w:t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SACPAS TABLES</w:t>
      </w:r>
      <w:r>
        <w:t xml:space="preserve"> </w:t>
      </w:r>
      <w:r>
        <w:t xml:space="preserve">TABLE X. Winter-run weekly distributed loss threshold.Last updated 04/21/2025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p>
      <w:pPr>
        <w:pStyle w:val="BodyText"/>
      </w:pPr>
      <w:r>
        <w:t xml:space="preserve">TABLE. Historic migration and salvage patterns.Last updated 04/21/2025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99.9%(99.6%,100.2%)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94.6%(84.4%,104.8%)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95.3%(91.3%,99.3%)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96.8%(93.8%,99.8%)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87.4%(77.9%,97.0%)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96.8%(94.8%,98.7%)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91.1%(81.9%,100.3%)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80.6%(71.7%,89.6%)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50.9%(36.8%,64.9%)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35.5%(16.6%,54.3%)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8.1%(3.7%,12.6%)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64.2%(40.2%,88.3%)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64.2%(41.7%,86.7%)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81.8%(67.4%,96.1%)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71.1%(58.1%,84.1%)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DNA Winter-run,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97.7%(93.8%,101.7%) WY: 2020 - 2024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74.6%(65.0%,84.1%) WY: 2015 - 2024</w:t>
            </w:r>
          </w:p>
        </w:tc>
      </w:tr>
    </w:tbl>
    <w:p>
      <w:pPr>
        <w:pStyle w:val="BodyText"/>
      </w:pPr>
      <w:r>
        <w:drawing>
          <wp:inline>
            <wp:extent cx="5334000" cy="3733800"/>
            <wp:effectExtent b="0" l="0" r="0" t="0"/>
            <wp:docPr descr="“Winter Run Loss Plot”" title="" id="33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wrc/load_plot_tillotson_predicted_los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“Winter Run Historic Loss”" title="" id="36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wrc/load_plot_count_genetic_lad_los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STEELHEAD THINGS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8.1%(3.7%,12.6%)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64.2%(40.2%,88.3%)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64.2%(41.7%,86.7%)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81.8%(67.4%,96.1%)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71.1%(58.1%,84.1%)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74.6%(65.0%,84.1%) WY: 2015 - 2024</w:t>
            </w:r>
          </w:p>
        </w:tc>
      </w:tr>
    </w:tbl>
    <w:p>
      <w:pPr>
        <w:pStyle w:val="BodyText"/>
      </w:pPr>
      <w:r>
        <w:t xml:space="preserve">TABLE X. Steelhead weekly distributed loss threshold.Last updated 04/21/2025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p>
      <w:pPr>
        <w:pStyle w:val="BodyText"/>
      </w:pPr>
      <w:r>
        <w:t xml:space="preserve">Figures from SacPAS for steelhead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“Steelhead historic loss”" title="" id="39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stlhd/load_plot_count_cumulative_los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“Steelhead sacpas tillotson”" title="" id="42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stlhd/load_plot_tillotson_predicted_los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“Steelhead clipped and unclipped loss by year”" title="" id="45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stlhd/load_plot_count_total_los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SH cumulative loss</w:t>
      </w:r>
      <w:r>
        <w:t xml:space="preserve"> </w:t>
      </w:r>
      <w:r>
        <w:drawing>
          <wp:inline>
            <wp:extent cx="5334000" cy="3809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Histogram of historic clipped and unclipped steelhead salvage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Tillotson predictions for steelhead at different OMRI scenarios</w:t>
      </w:r>
      <w:r>
        <w:t xml:space="preserve"> </w:t>
      </w:r>
      <w:r>
        <w:drawing>
          <wp:inline>
            <wp:extent cx="5334000" cy="38099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SPRING-RUN THINGS</w:t>
      </w:r>
    </w:p>
    <w:p>
      <w:pPr>
        <w:pStyle w:val="BodyText"/>
      </w:pPr>
      <w:r>
        <w:t xml:space="preserve">TABLE X. Spring-run surrogate release information and loss.Last updated 04/21/2025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CWT Released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First/Last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1051.21 (60.2%)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 29/Apr 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72.52 (37.5%)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 25/Jan 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43.34 (23.3%)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Jan 30/Apr 04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961,411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16.56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06/Apr 06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475,831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1,189.58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76.26 (6.4%)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31/Apr 17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2025-04-09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1,012,800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504,304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1,260.76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2025-04-21T21:58:09Z</dcterms:created>
  <dcterms:modified xsi:type="dcterms:W3CDTF">2025-04-21T21:58:09Z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