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Fuquay, Michael W. “Civil Rights and the Private School Movement in Mississippi, 1964-1971.”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Takeaways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Following the Civil Rights Act segregationists in Missipi shifted their focus from resisting desegregation in public schools to creating private schools. (Segration Academies)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Despite being technically “private” many of these schools received tuition vouchers and state textbooks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wonder how many private schools are just long-standing segregation academies. 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wonder how these segregation academies affected the white students.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Typically a conservative would not approve the idea of using state funding for private matters but I guess it changes when racism is involved.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Myers, Christopher. “White Freedom Schools: The White Academy Movement in Eastern North Carolina, 1954-1973.” The North Carolina Historical Review 81, no. 4 (October 2004): 393-425.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Takeaways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Following the Brown V. Board of Education white communities people in Northern States started their own segregation academies.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public schools desegregated, white parents and school officials began to become more conservative and anti-government. ‘Anti-Communist’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N/A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document underscores the tension between local autonomy in education versus federal oversight, which is happening to this day with things like the River View school situation.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Fear is probably the biggest political motivator ever.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Takeaways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was a fear of black dominance in white schools that largely fueled the white flight movement.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They framed integration as an attack of their freedoms, which is actually crazy.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White flight has to be an example of eco-chambers right?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Was there more that the Fed government could do?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desire to control Education is still seen today in our politics with the book bannings that are being done.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