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Wallace 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Takeaways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George Wallace's career is the true embodiment of what anger and fear around race look like. 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His legacy demonstrates the structure of what race, gender, and socioeconomic status exemplify. 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Wallace's rise was built by fear of social shift surrounded by political affairs. 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Questions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a black man, how do resonate with the structures of Wallace's ideas? 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How did Wallace and other segregationist figures frame their resistance to desegregation? 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Applications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 my and everyone's own bubble of life and community we should be a candle for justice, curiosity, and anger-driven content. 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Thunder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Takeaways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after="240" w:before="24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Goldwater's</w:t>
            </w:r>
            <w:r w:rsidDel="00000000" w:rsidR="00000000" w:rsidRPr="00000000">
              <w:rPr>
                <w:rtl w:val="0"/>
              </w:rPr>
              <w:t xml:space="preserve"> loss and Nixon's claim showed the GOP needed structure and balance.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Questions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How did Goldwater’s view on division allow us to be more liberal? 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Application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Be aware of ideological shift and historical shifts in your own life </w:t>
            </w:r>
          </w:p>
        </w:tc>
      </w:tr>
    </w:tbl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Mayer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Takeaways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after="240" w:before="24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Nixon appealed to white backlash against racial unrest. 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Questions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How did Nixon use race and law and order in the 1968 election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Application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Candidates must navigate regional conservatism while creating messages that resonate nationally. </w:t>
            </w:r>
          </w:p>
        </w:tc>
      </w:tr>
    </w:tbl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