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2C84" w14:textId="77777777" w:rsidR="00DF093F" w:rsidRPr="002160D9" w:rsidRDefault="00DF093F" w:rsidP="00DF093F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160D9">
        <w:rPr>
          <w:rFonts w:ascii="Times New Roman" w:hAnsi="Times New Roman" w:cs="Times New Roman"/>
          <w:b/>
          <w:sz w:val="22"/>
          <w:szCs w:val="22"/>
        </w:rPr>
        <w:t>Bulldogs Racing BR16 Sustainability Report</w:t>
      </w:r>
    </w:p>
    <w:p w14:paraId="6901A7D5" w14:textId="77777777" w:rsidR="00DF093F" w:rsidRPr="002160D9" w:rsidRDefault="00DF093F" w:rsidP="00DF093F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6"/>
        <w:tblW w:w="9094" w:type="dxa"/>
        <w:tblLook w:val="04A0" w:firstRow="1" w:lastRow="0" w:firstColumn="1" w:lastColumn="0" w:noHBand="0" w:noVBand="1"/>
      </w:tblPr>
      <w:tblGrid>
        <w:gridCol w:w="6658"/>
        <w:gridCol w:w="2436"/>
      </w:tblGrid>
      <w:tr w:rsidR="00DF093F" w:rsidRPr="002160D9" w14:paraId="72BEE3CF" w14:textId="77777777" w:rsidTr="00A41013">
        <w:trPr>
          <w:trHeight w:val="288"/>
        </w:trPr>
        <w:tc>
          <w:tcPr>
            <w:tcW w:w="6658" w:type="dxa"/>
          </w:tcPr>
          <w:p w14:paraId="7F907516" w14:textId="77777777" w:rsidR="00DF093F" w:rsidRPr="00DB53CB" w:rsidRDefault="00DF093F" w:rsidP="00A41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53CB">
              <w:rPr>
                <w:rFonts w:ascii="Times New Roman" w:hAnsi="Times New Roman" w:cs="Times New Roman"/>
                <w:b/>
                <w:sz w:val="22"/>
                <w:szCs w:val="22"/>
              </w:rPr>
              <w:t>Resource</w:t>
            </w:r>
          </w:p>
        </w:tc>
        <w:tc>
          <w:tcPr>
            <w:tcW w:w="2436" w:type="dxa"/>
          </w:tcPr>
          <w:p w14:paraId="63E8BD9C" w14:textId="77777777" w:rsidR="00DF093F" w:rsidRPr="002160D9" w:rsidRDefault="00DF093F" w:rsidP="00A410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Impact</w:t>
            </w:r>
          </w:p>
        </w:tc>
      </w:tr>
      <w:tr w:rsidR="00DF093F" w:rsidRPr="002160D9" w14:paraId="6BD605B5" w14:textId="77777777" w:rsidTr="00A41013">
        <w:trPr>
          <w:trHeight w:val="548"/>
        </w:trPr>
        <w:tc>
          <w:tcPr>
            <w:tcW w:w="6658" w:type="dxa"/>
          </w:tcPr>
          <w:p w14:paraId="203669BF" w14:textId="77777777" w:rsidR="00DF093F" w:rsidRPr="002160D9" w:rsidRDefault="00DF093F" w:rsidP="00A410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>CO</w:t>
            </w:r>
            <w:r w:rsidRPr="002160D9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2</w:t>
            </w: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 xml:space="preserve"> generated per MJ of natural gas burned at Yale  University’s Central Power Plant (CPP)</w:t>
            </w:r>
          </w:p>
        </w:tc>
        <w:tc>
          <w:tcPr>
            <w:tcW w:w="2436" w:type="dxa"/>
          </w:tcPr>
          <w:p w14:paraId="62838D71" w14:textId="77777777" w:rsidR="00DF093F" w:rsidRPr="002160D9" w:rsidRDefault="00DF093F" w:rsidP="00A410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>0.056 kg CO</w:t>
            </w:r>
            <w:r w:rsidRPr="002160D9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2</w:t>
            </w: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 xml:space="preserve"> per MJ</w:t>
            </w:r>
            <w:r w:rsidRPr="002160D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</w:p>
        </w:tc>
      </w:tr>
      <w:tr w:rsidR="00DF093F" w:rsidRPr="002160D9" w14:paraId="09F83F45" w14:textId="77777777" w:rsidTr="00A41013">
        <w:trPr>
          <w:trHeight w:val="542"/>
        </w:trPr>
        <w:tc>
          <w:tcPr>
            <w:tcW w:w="6658" w:type="dxa"/>
          </w:tcPr>
          <w:p w14:paraId="0CA5F2E8" w14:textId="77777777" w:rsidR="00DF093F" w:rsidRPr="002160D9" w:rsidRDefault="00DF093F" w:rsidP="00A410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>Delivery efficiency of unit electrical energy stored in the vehicle’s battery per unit thermal energy dissipated at the CPP:</w:t>
            </w:r>
          </w:p>
        </w:tc>
        <w:tc>
          <w:tcPr>
            <w:tcW w:w="2436" w:type="dxa"/>
          </w:tcPr>
          <w:p w14:paraId="55647563" w14:textId="77777777" w:rsidR="00DF093F" w:rsidRPr="002160D9" w:rsidRDefault="00DF093F" w:rsidP="00A410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>~40%</w:t>
            </w:r>
            <w:r w:rsidRPr="002160D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DF093F" w:rsidRPr="002160D9" w14:paraId="6F99672B" w14:textId="77777777" w:rsidTr="00A41013">
        <w:trPr>
          <w:trHeight w:val="975"/>
        </w:trPr>
        <w:tc>
          <w:tcPr>
            <w:tcW w:w="6658" w:type="dxa"/>
          </w:tcPr>
          <w:p w14:paraId="139FE78D" w14:textId="77777777" w:rsidR="00DF093F" w:rsidRPr="002160D9" w:rsidRDefault="00DF093F" w:rsidP="00A410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>Electricity consumption of the vehicle:</w:t>
            </w:r>
          </w:p>
          <w:p w14:paraId="7882C983" w14:textId="77777777" w:rsidR="00DF093F" w:rsidRPr="002160D9" w:rsidRDefault="00DF093F" w:rsidP="00A410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>Battery capacity: 5.7 kWh</w:t>
            </w:r>
            <w:r w:rsidRPr="002160D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3</w:t>
            </w: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 xml:space="preserve"> (20.5 MJ); battery range ~ 35 mi (56 km) in racing environment</w:t>
            </w:r>
            <w:r w:rsidRPr="002160D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4</w:t>
            </w: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 xml:space="preserve">; efficiency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20.5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MJ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56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km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=0.36</m:t>
              </m:r>
            </m:oMath>
            <w:r w:rsidRPr="002160D9">
              <w:rPr>
                <w:rFonts w:ascii="Times New Roman" w:hAnsi="Times New Roman" w:cs="Times New Roman"/>
                <w:sz w:val="22"/>
                <w:szCs w:val="22"/>
              </w:rPr>
              <w:t xml:space="preserve"> MJ/km</w:t>
            </w:r>
          </w:p>
        </w:tc>
        <w:tc>
          <w:tcPr>
            <w:tcW w:w="2436" w:type="dxa"/>
          </w:tcPr>
          <w:p w14:paraId="4C7996C2" w14:textId="77777777" w:rsidR="00DF093F" w:rsidRPr="002160D9" w:rsidRDefault="00DF093F" w:rsidP="00A410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>0.36 MJ/km</w:t>
            </w:r>
          </w:p>
        </w:tc>
      </w:tr>
      <w:tr w:rsidR="00DF093F" w:rsidRPr="002160D9" w14:paraId="41796EBE" w14:textId="77777777" w:rsidTr="00A41013">
        <w:trPr>
          <w:trHeight w:val="976"/>
        </w:trPr>
        <w:tc>
          <w:tcPr>
            <w:tcW w:w="6658" w:type="dxa"/>
          </w:tcPr>
          <w:p w14:paraId="6B17BC87" w14:textId="77777777" w:rsidR="00DF093F" w:rsidRPr="002160D9" w:rsidRDefault="00DF093F" w:rsidP="00A410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>Total CO</w:t>
            </w:r>
            <w:r w:rsidRPr="002160D9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2</w:t>
            </w: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 xml:space="preserve"> generated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is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0.056 kg 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vertAlign w:val="subscript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per MJ of natural gas*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0.4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efficiency*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0.36</m:t>
              </m:r>
              <m:f>
                <m:f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km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=0.0504 kg 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per km</m:t>
              </m:r>
            </m:oMath>
            <w:r w:rsidRPr="002160D9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2436" w:type="dxa"/>
          </w:tcPr>
          <w:p w14:paraId="08A87411" w14:textId="77777777" w:rsidR="00DF093F" w:rsidRPr="002160D9" w:rsidRDefault="00DF093F" w:rsidP="00A410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60D9">
              <w:rPr>
                <w:rFonts w:ascii="Times New Roman" w:hAnsi="Times New Roman" w:cs="Times New Roman"/>
                <w:sz w:val="22"/>
                <w:szCs w:val="22"/>
              </w:rPr>
              <w:t>0.0504 kg/km</w:t>
            </w:r>
          </w:p>
        </w:tc>
      </w:tr>
    </w:tbl>
    <w:p w14:paraId="6A9A3C33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>Notes:</w:t>
      </w:r>
    </w:p>
    <w:p w14:paraId="3A044DD0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>Fuel production (i.e., electricity in our case) is accomplished at Yale University’s Central Power Plant, which is an 18 MW cogeneration facility using gas turbines powered by natural gas.</w:t>
      </w:r>
    </w:p>
    <w:p w14:paraId="522A03DF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0E35DA6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>Sources:</w:t>
      </w:r>
    </w:p>
    <w:p w14:paraId="1D8C88C4" w14:textId="77777777" w:rsidR="00DF093F" w:rsidRPr="002160D9" w:rsidRDefault="00DF093F" w:rsidP="00DF09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 xml:space="preserve">Government of Canada. "Canadian Industry Program for Energy Conservation (CIPEC) Appendix B – CO2 Emission Factors." </w:t>
      </w:r>
      <w:r w:rsidRPr="002160D9">
        <w:rPr>
          <w:rFonts w:ascii="Times New Roman" w:hAnsi="Times New Roman" w:cs="Times New Roman"/>
          <w:i/>
          <w:sz w:val="22"/>
          <w:szCs w:val="22"/>
        </w:rPr>
        <w:t>Natural Resources Canada</w:t>
      </w:r>
      <w:r>
        <w:rPr>
          <w:rFonts w:ascii="Times New Roman" w:hAnsi="Times New Roman" w:cs="Times New Roman"/>
          <w:sz w:val="22"/>
          <w:szCs w:val="22"/>
        </w:rPr>
        <w:t>, 15.05.</w:t>
      </w:r>
      <w:r w:rsidRPr="002160D9">
        <w:rPr>
          <w:rFonts w:ascii="Times New Roman" w:hAnsi="Times New Roman" w:cs="Times New Roman"/>
          <w:sz w:val="22"/>
          <w:szCs w:val="22"/>
        </w:rPr>
        <w:t>13. Web. 12</w:t>
      </w:r>
      <w:r>
        <w:rPr>
          <w:rFonts w:ascii="Times New Roman" w:hAnsi="Times New Roman" w:cs="Times New Roman"/>
          <w:sz w:val="22"/>
          <w:szCs w:val="22"/>
        </w:rPr>
        <w:t>.03.</w:t>
      </w:r>
      <w:r w:rsidRPr="002160D9">
        <w:rPr>
          <w:rFonts w:ascii="Times New Roman" w:hAnsi="Times New Roman" w:cs="Times New Roman"/>
          <w:sz w:val="22"/>
          <w:szCs w:val="22"/>
        </w:rPr>
        <w:t>16.</w:t>
      </w:r>
    </w:p>
    <w:p w14:paraId="33678A6A" w14:textId="77777777" w:rsidR="00DF093F" w:rsidRPr="002160D9" w:rsidRDefault="00DF093F" w:rsidP="00DF093F">
      <w:pPr>
        <w:pStyle w:val="ListParagraph"/>
        <w:numPr>
          <w:ilvl w:val="0"/>
          <w:numId w:val="4"/>
        </w:numPr>
        <w:jc w:val="both"/>
        <w:rPr>
          <w:rStyle w:val="Hyperlink"/>
          <w:rFonts w:ascii="Times New Roman" w:hAnsi="Times New Roman" w:cs="Times New Roman"/>
          <w:color w:val="auto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 xml:space="preserve">EPA. "Methods for Calculating Efficiency." </w:t>
      </w:r>
      <w:r w:rsidRPr="002160D9">
        <w:rPr>
          <w:rFonts w:ascii="Times New Roman" w:hAnsi="Times New Roman" w:cs="Times New Roman"/>
          <w:i/>
          <w:sz w:val="22"/>
          <w:szCs w:val="22"/>
        </w:rPr>
        <w:t>Combined Heat and Power (CHP) Partnership</w:t>
      </w:r>
      <w:r w:rsidRPr="002160D9">
        <w:rPr>
          <w:rFonts w:ascii="Times New Roman" w:hAnsi="Times New Roman" w:cs="Times New Roman"/>
          <w:sz w:val="22"/>
          <w:szCs w:val="22"/>
        </w:rPr>
        <w:t>. US Environmental Protection Agency, 10</w:t>
      </w:r>
      <w:r>
        <w:rPr>
          <w:rFonts w:ascii="Times New Roman" w:hAnsi="Times New Roman" w:cs="Times New Roman"/>
          <w:sz w:val="22"/>
          <w:szCs w:val="22"/>
        </w:rPr>
        <w:t>.12.</w:t>
      </w:r>
      <w:r w:rsidRPr="002160D9">
        <w:rPr>
          <w:rFonts w:ascii="Times New Roman" w:hAnsi="Times New Roman" w:cs="Times New Roman"/>
          <w:sz w:val="22"/>
          <w:szCs w:val="22"/>
        </w:rPr>
        <w:t>15. Web. 12</w:t>
      </w:r>
      <w:r>
        <w:rPr>
          <w:rFonts w:ascii="Times New Roman" w:hAnsi="Times New Roman" w:cs="Times New Roman"/>
          <w:sz w:val="22"/>
          <w:szCs w:val="22"/>
        </w:rPr>
        <w:t>.03</w:t>
      </w:r>
      <w:r w:rsidRPr="002160D9">
        <w:rPr>
          <w:rFonts w:ascii="Times New Roman" w:hAnsi="Times New Roman" w:cs="Times New Roman"/>
          <w:sz w:val="22"/>
          <w:szCs w:val="22"/>
        </w:rPr>
        <w:t>.16.</w:t>
      </w:r>
    </w:p>
    <w:p w14:paraId="2635DBBA" w14:textId="77777777" w:rsidR="00DF093F" w:rsidRPr="002160D9" w:rsidRDefault="00DF093F" w:rsidP="00DF093F">
      <w:pPr>
        <w:pStyle w:val="ListParagraph"/>
        <w:numPr>
          <w:ilvl w:val="0"/>
          <w:numId w:val="4"/>
        </w:numPr>
        <w:jc w:val="both"/>
        <w:rPr>
          <w:rStyle w:val="Hyperlink"/>
          <w:rFonts w:ascii="Times New Roman" w:hAnsi="Times New Roman" w:cs="Times New Roman"/>
          <w:color w:val="auto"/>
          <w:sz w:val="22"/>
          <w:szCs w:val="22"/>
        </w:rPr>
      </w:pPr>
      <w:r w:rsidRPr="002160D9">
        <w:rPr>
          <w:rStyle w:val="Hyperlink"/>
          <w:rFonts w:ascii="Times New Roman" w:hAnsi="Times New Roman" w:cs="Times New Roman"/>
          <w:color w:val="auto"/>
          <w:sz w:val="22"/>
          <w:szCs w:val="22"/>
        </w:rPr>
        <w:t>5.2 kWh de-rated (0.8 * 5.7 kWh)</w:t>
      </w:r>
    </w:p>
    <w:p w14:paraId="7B3B3287" w14:textId="77777777" w:rsidR="00DF093F" w:rsidRPr="002160D9" w:rsidRDefault="00DF093F" w:rsidP="00DF093F">
      <w:pPr>
        <w:pStyle w:val="ListParagraph"/>
        <w:numPr>
          <w:ilvl w:val="0"/>
          <w:numId w:val="4"/>
        </w:numPr>
        <w:jc w:val="both"/>
        <w:rPr>
          <w:rStyle w:val="Hyperlink"/>
          <w:rFonts w:ascii="Times New Roman" w:hAnsi="Times New Roman" w:cs="Times New Roman"/>
          <w:color w:val="auto"/>
          <w:sz w:val="22"/>
          <w:szCs w:val="22"/>
        </w:rPr>
      </w:pPr>
      <w:r w:rsidRPr="002160D9">
        <w:rPr>
          <w:rStyle w:val="Hyperlink"/>
          <w:rFonts w:ascii="Times New Roman" w:hAnsi="Times New Roman" w:cs="Times New Roman"/>
          <w:color w:val="auto"/>
          <w:sz w:val="22"/>
          <w:szCs w:val="22"/>
        </w:rPr>
        <w:t>From test data based off battery capacity, power, weight, and estimated stress on the vehicle in race environment</w:t>
      </w:r>
    </w:p>
    <w:p w14:paraId="290E5B95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DC2465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>Fuel consumption during the endurance event:</w:t>
      </w:r>
    </w:p>
    <w:p w14:paraId="666CF22F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>Length: 44 km; 44 km x 0.36 MJ/km = 15.8 MJ of electricity</w:t>
      </w:r>
    </w:p>
    <w:p w14:paraId="7C93D774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BD69F0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>CO</w:t>
      </w:r>
      <w:r w:rsidRPr="002160D9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2160D9">
        <w:rPr>
          <w:rFonts w:ascii="Times New Roman" w:hAnsi="Times New Roman" w:cs="Times New Roman"/>
          <w:sz w:val="22"/>
          <w:szCs w:val="22"/>
        </w:rPr>
        <w:t xml:space="preserve"> generated during the endurance event:</w:t>
      </w:r>
    </w:p>
    <w:p w14:paraId="5395EC23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>Length: 44</w:t>
      </w:r>
      <w:r>
        <w:rPr>
          <w:rFonts w:ascii="Times New Roman" w:hAnsi="Times New Roman" w:cs="Times New Roman"/>
          <w:sz w:val="22"/>
          <w:szCs w:val="22"/>
        </w:rPr>
        <w:t xml:space="preserve"> km; 44 km x 0.0504 kg/km = 2.22</w:t>
      </w:r>
      <w:r w:rsidRPr="002160D9">
        <w:rPr>
          <w:rFonts w:ascii="Times New Roman" w:hAnsi="Times New Roman" w:cs="Times New Roman"/>
          <w:sz w:val="22"/>
          <w:szCs w:val="22"/>
        </w:rPr>
        <w:t xml:space="preserve"> kg of CO</w:t>
      </w:r>
      <w:r w:rsidRPr="002160D9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2160D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90CD49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32049CE" w14:textId="77777777" w:rsidR="00DF093F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 xml:space="preserve">Our performance and efficiency targets </w:t>
      </w:r>
      <w:r>
        <w:rPr>
          <w:rFonts w:ascii="Times New Roman" w:hAnsi="Times New Roman" w:cs="Times New Roman"/>
          <w:sz w:val="22"/>
          <w:szCs w:val="22"/>
        </w:rPr>
        <w:t>had</w:t>
      </w:r>
      <w:r w:rsidRPr="002160D9">
        <w:rPr>
          <w:rFonts w:ascii="Times New Roman" w:hAnsi="Times New Roman" w:cs="Times New Roman"/>
          <w:sz w:val="22"/>
          <w:szCs w:val="22"/>
        </w:rPr>
        <w:t xml:space="preserve"> us to use 86 A123 AMP20 prismatic pouch cell batteries with a chemistry of lithium, phosphate, and iron due to their nature of providing a combination of high </w:t>
      </w:r>
      <w:r>
        <w:rPr>
          <w:rFonts w:ascii="Times New Roman" w:hAnsi="Times New Roman" w:cs="Times New Roman"/>
          <w:sz w:val="22"/>
          <w:szCs w:val="22"/>
        </w:rPr>
        <w:t xml:space="preserve">energy and high power density, since every cell has a capacity of 20 Ah and a peak discharge current of 600 A. </w:t>
      </w:r>
      <w:r w:rsidRPr="002160D9">
        <w:rPr>
          <w:rFonts w:ascii="Times New Roman" w:hAnsi="Times New Roman" w:cs="Times New Roman"/>
          <w:sz w:val="22"/>
          <w:szCs w:val="22"/>
        </w:rPr>
        <w:t>The AMP20 delivers high usable energy over a wide state of charge (SOC) range to minimize pack oversizing and of</w:t>
      </w:r>
      <w:r>
        <w:rPr>
          <w:rFonts w:ascii="Times New Roman" w:hAnsi="Times New Roman" w:cs="Times New Roman"/>
          <w:sz w:val="22"/>
          <w:szCs w:val="22"/>
        </w:rPr>
        <w:t>fer very low cost per watt-hour with 1.35 $/W.</w:t>
      </w:r>
    </w:p>
    <w:p w14:paraId="08BC26FA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2160D9">
        <w:rPr>
          <w:rFonts w:ascii="Times New Roman" w:hAnsi="Times New Roman" w:cs="Times New Roman"/>
          <w:sz w:val="22"/>
          <w:szCs w:val="22"/>
        </w:rPr>
        <w:t>source</w:t>
      </w:r>
      <w:proofErr w:type="gramEnd"/>
      <w:r w:rsidRPr="002160D9">
        <w:rPr>
          <w:rFonts w:ascii="Times New Roman" w:hAnsi="Times New Roman" w:cs="Times New Roman"/>
          <w:sz w:val="22"/>
          <w:szCs w:val="22"/>
        </w:rPr>
        <w:t>: http://www.a123systems.com/prismatic-cell-amp20.htm)</w:t>
      </w:r>
    </w:p>
    <w:p w14:paraId="352FEEB5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AE574D5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 xml:space="preserve">In addition, we strove to maximize efficiency by minimizing our use of raw materials </w:t>
      </w:r>
      <w:r>
        <w:rPr>
          <w:rFonts w:ascii="Times New Roman" w:hAnsi="Times New Roman" w:cs="Times New Roman"/>
          <w:sz w:val="22"/>
          <w:szCs w:val="22"/>
        </w:rPr>
        <w:t>and</w:t>
      </w:r>
      <w:r w:rsidRPr="002160D9">
        <w:rPr>
          <w:rFonts w:ascii="Times New Roman" w:hAnsi="Times New Roman" w:cs="Times New Roman"/>
          <w:sz w:val="22"/>
          <w:szCs w:val="22"/>
        </w:rPr>
        <w:t xml:space="preserve"> our vehicle weight, as evidenced by the reduced weight and size of our </w:t>
      </w:r>
      <w:r>
        <w:rPr>
          <w:rFonts w:ascii="Times New Roman" w:hAnsi="Times New Roman" w:cs="Times New Roman"/>
          <w:sz w:val="22"/>
          <w:szCs w:val="22"/>
        </w:rPr>
        <w:t>car</w:t>
      </w:r>
      <w:r w:rsidRPr="002160D9">
        <w:rPr>
          <w:rFonts w:ascii="Times New Roman" w:hAnsi="Times New Roman" w:cs="Times New Roman"/>
          <w:sz w:val="22"/>
          <w:szCs w:val="22"/>
        </w:rPr>
        <w:t xml:space="preserve"> (approximately 500 lbs. without driver) compared to last year</w:t>
      </w:r>
      <w:r>
        <w:rPr>
          <w:rFonts w:ascii="Times New Roman" w:hAnsi="Times New Roman" w:cs="Times New Roman"/>
          <w:sz w:val="22"/>
          <w:szCs w:val="22"/>
        </w:rPr>
        <w:t>; in the chassis alone we saved about 25 lbs. with more compact packaging</w:t>
      </w:r>
      <w:r w:rsidRPr="002160D9">
        <w:rPr>
          <w:rFonts w:ascii="Times New Roman" w:hAnsi="Times New Roman" w:cs="Times New Roman"/>
          <w:sz w:val="22"/>
          <w:szCs w:val="22"/>
        </w:rPr>
        <w:t>.  Furthermore, we worked to eliminate complex manufacturing processes that tend to be resource-intensive by moving to injection molding for the plastic battery tab covers rather than using 3D printing or machining.</w:t>
      </w:r>
    </w:p>
    <w:p w14:paraId="1FBFC6DE" w14:textId="77777777" w:rsidR="00DF093F" w:rsidRPr="002160D9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DA3D0CF" w14:textId="106C90BE" w:rsidR="00035D48" w:rsidRPr="00DF093F" w:rsidRDefault="00DF093F" w:rsidP="00DF093F">
      <w:pPr>
        <w:jc w:val="both"/>
        <w:rPr>
          <w:rFonts w:ascii="Times New Roman" w:hAnsi="Times New Roman" w:cs="Times New Roman"/>
          <w:sz w:val="22"/>
          <w:szCs w:val="22"/>
        </w:rPr>
      </w:pPr>
      <w:r w:rsidRPr="002160D9">
        <w:rPr>
          <w:rFonts w:ascii="Times New Roman" w:hAnsi="Times New Roman" w:cs="Times New Roman"/>
          <w:sz w:val="22"/>
          <w:szCs w:val="22"/>
        </w:rPr>
        <w:t>Lastly, we managed to make our car 95-96% efficient when run at the correct speed and torque levels, a product of our commitment to performance and efficiency.</w:t>
      </w:r>
      <w:bookmarkStart w:id="0" w:name="_GoBack"/>
      <w:bookmarkEnd w:id="0"/>
    </w:p>
    <w:sectPr w:rsidR="00035D48" w:rsidRPr="00DF093F" w:rsidSect="00BD40C2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E31A4" w14:textId="77777777" w:rsidR="00433BCA" w:rsidRDefault="00433BCA" w:rsidP="00650989">
      <w:r>
        <w:separator/>
      </w:r>
    </w:p>
  </w:endnote>
  <w:endnote w:type="continuationSeparator" w:id="0">
    <w:p w14:paraId="35AE0889" w14:textId="77777777" w:rsidR="00433BCA" w:rsidRDefault="00433BCA" w:rsidP="0065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Bangla Sangam M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92672" w14:textId="77777777" w:rsidR="00433BCA" w:rsidRDefault="00433BCA" w:rsidP="00650989">
      <w:r>
        <w:separator/>
      </w:r>
    </w:p>
  </w:footnote>
  <w:footnote w:type="continuationSeparator" w:id="0">
    <w:p w14:paraId="3A80588C" w14:textId="77777777" w:rsidR="00433BCA" w:rsidRDefault="00433BCA" w:rsidP="006509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4ED30" w14:textId="44DE2211" w:rsidR="00650989" w:rsidRDefault="00650989" w:rsidP="002F643A">
    <w:pPr>
      <w:pStyle w:val="Header"/>
      <w:tabs>
        <w:tab w:val="clear" w:pos="4680"/>
        <w:tab w:val="clear" w:pos="9360"/>
        <w:tab w:val="center" w:pos="4150"/>
      </w:tabs>
    </w:pPr>
    <w:r w:rsidRPr="00A660E0">
      <w:rPr>
        <w:rFonts w:ascii="Bangla Sangam MN" w:hAnsi="Bangla Sangam MN" w:cs="Ayuthaya"/>
        <w:noProof/>
        <w:lang w:val="tr-TR" w:eastAsia="tr-TR"/>
      </w:rPr>
      <w:drawing>
        <wp:anchor distT="0" distB="0" distL="114300" distR="114300" simplePos="0" relativeHeight="251659264" behindDoc="1" locked="0" layoutInCell="1" allowOverlap="1" wp14:anchorId="2FDD0F39" wp14:editId="18CDC4F7">
          <wp:simplePos x="0" y="0"/>
          <wp:positionH relativeFrom="margin">
            <wp:align>center</wp:align>
          </wp:positionH>
          <wp:positionV relativeFrom="topMargin">
            <wp:posOffset>342900</wp:posOffset>
          </wp:positionV>
          <wp:extent cx="1463040" cy="338328"/>
          <wp:effectExtent l="0" t="0" r="3810" b="5080"/>
          <wp:wrapNone/>
          <wp:docPr id="2" name="Picture 2" descr="Macintosh HD:Users:James:Desktop:other:Bulldogs Racing Logos:BulldogsRacing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James:Desktop:other:Bulldogs Racing Logos:BulldogsRacing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643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D3609"/>
    <w:multiLevelType w:val="multilevel"/>
    <w:tmpl w:val="497C731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DAD2F76"/>
    <w:multiLevelType w:val="multilevel"/>
    <w:tmpl w:val="10D87EE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9CC639E"/>
    <w:multiLevelType w:val="hybridMultilevel"/>
    <w:tmpl w:val="03B23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4505A"/>
    <w:multiLevelType w:val="multilevel"/>
    <w:tmpl w:val="AF3296F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67"/>
    <w:rsid w:val="00035D48"/>
    <w:rsid w:val="000508B2"/>
    <w:rsid w:val="00054177"/>
    <w:rsid w:val="000D0E11"/>
    <w:rsid w:val="000F5D54"/>
    <w:rsid w:val="001B0D02"/>
    <w:rsid w:val="001C6DE8"/>
    <w:rsid w:val="001F3BB5"/>
    <w:rsid w:val="00237EAD"/>
    <w:rsid w:val="0024189F"/>
    <w:rsid w:val="00254A75"/>
    <w:rsid w:val="00297532"/>
    <w:rsid w:val="002F643A"/>
    <w:rsid w:val="002F67A4"/>
    <w:rsid w:val="00303C01"/>
    <w:rsid w:val="00323FA3"/>
    <w:rsid w:val="003F2EBA"/>
    <w:rsid w:val="00433BCA"/>
    <w:rsid w:val="00461C67"/>
    <w:rsid w:val="00480BA6"/>
    <w:rsid w:val="004A508D"/>
    <w:rsid w:val="004C6BD6"/>
    <w:rsid w:val="004F56C5"/>
    <w:rsid w:val="00543A56"/>
    <w:rsid w:val="0056489C"/>
    <w:rsid w:val="00581BBC"/>
    <w:rsid w:val="005B6757"/>
    <w:rsid w:val="005E134E"/>
    <w:rsid w:val="00650989"/>
    <w:rsid w:val="00664330"/>
    <w:rsid w:val="006E3191"/>
    <w:rsid w:val="00745A7D"/>
    <w:rsid w:val="007977B0"/>
    <w:rsid w:val="00807800"/>
    <w:rsid w:val="00887555"/>
    <w:rsid w:val="008B0A7F"/>
    <w:rsid w:val="009031A1"/>
    <w:rsid w:val="00925351"/>
    <w:rsid w:val="00A33349"/>
    <w:rsid w:val="00A51FAF"/>
    <w:rsid w:val="00AA777D"/>
    <w:rsid w:val="00B43F6F"/>
    <w:rsid w:val="00B655BB"/>
    <w:rsid w:val="00B664EB"/>
    <w:rsid w:val="00B908FA"/>
    <w:rsid w:val="00BB786E"/>
    <w:rsid w:val="00BC6BC4"/>
    <w:rsid w:val="00BC6D30"/>
    <w:rsid w:val="00BD40C2"/>
    <w:rsid w:val="00C33EFE"/>
    <w:rsid w:val="00C65482"/>
    <w:rsid w:val="00C82431"/>
    <w:rsid w:val="00D2545E"/>
    <w:rsid w:val="00D33243"/>
    <w:rsid w:val="00D71D41"/>
    <w:rsid w:val="00DA6C24"/>
    <w:rsid w:val="00DC7F5B"/>
    <w:rsid w:val="00DE4C15"/>
    <w:rsid w:val="00DF093F"/>
    <w:rsid w:val="00E21D1F"/>
    <w:rsid w:val="00E53568"/>
    <w:rsid w:val="00EC630E"/>
    <w:rsid w:val="00F64321"/>
    <w:rsid w:val="00F70285"/>
    <w:rsid w:val="00F7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E1AA99"/>
  <w14:defaultImageDpi w14:val="300"/>
  <w15:docId w15:val="{26C4B8EB-EA29-4832-939E-E30C221D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C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1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9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989"/>
  </w:style>
  <w:style w:type="paragraph" w:styleId="Footer">
    <w:name w:val="footer"/>
    <w:basedOn w:val="Normal"/>
    <w:link w:val="FooterChar"/>
    <w:uiPriority w:val="99"/>
    <w:unhideWhenUsed/>
    <w:rsid w:val="00650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989"/>
  </w:style>
  <w:style w:type="character" w:styleId="Hyperlink">
    <w:name w:val="Hyperlink"/>
    <w:basedOn w:val="DefaultParagraphFont"/>
    <w:uiPriority w:val="99"/>
    <w:unhideWhenUsed/>
    <w:rsid w:val="00035D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508D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F093F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DF093F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Wabantu Hlophe</dc:creator>
  <cp:lastModifiedBy>Taha Zeki Ramazanoğlu</cp:lastModifiedBy>
  <cp:revision>3</cp:revision>
  <dcterms:created xsi:type="dcterms:W3CDTF">2016-01-22T13:04:00Z</dcterms:created>
  <dcterms:modified xsi:type="dcterms:W3CDTF">2016-03-23T01:29:00Z</dcterms:modified>
</cp:coreProperties>
</file>