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6775C" w14:textId="77777777" w:rsidR="00C808D1" w:rsidRDefault="00C808D1" w:rsidP="00C808D1">
      <w:pPr>
        <w:pStyle w:val="Heading1"/>
      </w:pPr>
      <w:r>
        <w:t>Annex I: Veronica’s Matrix - Preparing the methodology section</w:t>
      </w:r>
    </w:p>
    <w:p w14:paraId="08CDD1E7" w14:textId="77777777" w:rsidR="00C808D1" w:rsidRDefault="00C808D1" w:rsidP="00C808D1"/>
    <w:p w14:paraId="5AFA3759" w14:textId="77777777" w:rsidR="00C808D1" w:rsidRDefault="00C808D1" w:rsidP="00C808D1">
      <w:r w:rsidRPr="003921CE">
        <w:rPr>
          <w:highlight w:val="yellow"/>
        </w:rPr>
        <w:t xml:space="preserve">Table still needs to be completed; we would only fill in the column on the “Horizon call objectives and requirements”, and then ask partners to complete this table in preparation of our meeting end of October. Ideally, we should cluster the different objectives and requirements of the call in three separate tables, along the three parts of the research questions: (1) Why to enlarge, (2) </w:t>
      </w:r>
      <w:r>
        <w:rPr>
          <w:highlight w:val="yellow"/>
        </w:rPr>
        <w:t>H</w:t>
      </w:r>
      <w:r w:rsidRPr="003921CE">
        <w:rPr>
          <w:highlight w:val="yellow"/>
        </w:rPr>
        <w:t xml:space="preserve">ow to enlarge and (3) </w:t>
      </w:r>
      <w:r>
        <w:rPr>
          <w:highlight w:val="yellow"/>
        </w:rPr>
        <w:t>H</w:t>
      </w:r>
      <w:r w:rsidRPr="003921CE">
        <w:rPr>
          <w:highlight w:val="yellow"/>
        </w:rPr>
        <w:t>ow to involve/</w:t>
      </w:r>
      <w:r>
        <w:rPr>
          <w:highlight w:val="yellow"/>
        </w:rPr>
        <w:t xml:space="preserve"> </w:t>
      </w:r>
      <w:r w:rsidRPr="003921CE">
        <w:rPr>
          <w:highlight w:val="yellow"/>
        </w:rPr>
        <w:t>communicate to citizens.</w:t>
      </w:r>
      <w:r>
        <w:t xml:space="preserve"> </w:t>
      </w:r>
      <w:r w:rsidRPr="00AD3D54">
        <w:rPr>
          <w:highlight w:val="yellow"/>
        </w:rPr>
        <w:t>Erik distilled these three questions from the call, and these are also at the core of th</w:t>
      </w:r>
      <w:r>
        <w:rPr>
          <w:highlight w:val="yellow"/>
        </w:rPr>
        <w:t xml:space="preserve">is concept </w:t>
      </w:r>
      <w:r w:rsidRPr="00AD3D54">
        <w:rPr>
          <w:highlight w:val="yellow"/>
        </w:rPr>
        <w:t>proposal.</w:t>
      </w:r>
    </w:p>
    <w:p w14:paraId="4C2A4685" w14:textId="77777777" w:rsidR="00C808D1" w:rsidRDefault="00C808D1" w:rsidP="00C808D1">
      <w:pPr>
        <w:rPr>
          <w:color w:val="000000" w:themeColor="text1"/>
        </w:rPr>
      </w:pPr>
    </w:p>
    <w:tbl>
      <w:tblPr>
        <w:tblStyle w:val="TableGrid"/>
        <w:tblW w:w="0" w:type="auto"/>
        <w:tblLayout w:type="fixed"/>
        <w:tblLook w:val="04A0" w:firstRow="1" w:lastRow="0" w:firstColumn="1" w:lastColumn="0" w:noHBand="0" w:noVBand="1"/>
      </w:tblPr>
      <w:tblGrid>
        <w:gridCol w:w="3325"/>
        <w:gridCol w:w="3510"/>
        <w:gridCol w:w="1440"/>
        <w:gridCol w:w="741"/>
      </w:tblGrid>
      <w:tr w:rsidR="00C808D1" w:rsidRPr="003921CE" w14:paraId="15CFA198" w14:textId="77777777" w:rsidTr="004B6B90">
        <w:tc>
          <w:tcPr>
            <w:tcW w:w="3325" w:type="dxa"/>
          </w:tcPr>
          <w:p w14:paraId="0CE03975" w14:textId="77777777" w:rsidR="00C808D1" w:rsidRPr="003921CE" w:rsidRDefault="00C808D1" w:rsidP="004B6B90">
            <w:pPr>
              <w:rPr>
                <w:b/>
                <w:bCs/>
                <w:sz w:val="20"/>
                <w:szCs w:val="20"/>
              </w:rPr>
            </w:pPr>
            <w:r w:rsidRPr="003921CE">
              <w:rPr>
                <w:b/>
                <w:bCs/>
                <w:sz w:val="20"/>
                <w:szCs w:val="20"/>
              </w:rPr>
              <w:t xml:space="preserve">Horizon Call </w:t>
            </w:r>
            <w:r>
              <w:rPr>
                <w:b/>
                <w:bCs/>
                <w:sz w:val="20"/>
                <w:szCs w:val="20"/>
              </w:rPr>
              <w:t>Objectives and Requirements</w:t>
            </w:r>
          </w:p>
        </w:tc>
        <w:tc>
          <w:tcPr>
            <w:tcW w:w="3510" w:type="dxa"/>
          </w:tcPr>
          <w:p w14:paraId="1108E884" w14:textId="77777777" w:rsidR="00C808D1" w:rsidRPr="003921CE" w:rsidRDefault="00C808D1" w:rsidP="004B6B90">
            <w:pPr>
              <w:rPr>
                <w:b/>
                <w:bCs/>
                <w:sz w:val="20"/>
                <w:szCs w:val="20"/>
              </w:rPr>
            </w:pPr>
            <w:r>
              <w:rPr>
                <w:b/>
                <w:bCs/>
                <w:sz w:val="20"/>
                <w:szCs w:val="20"/>
              </w:rPr>
              <w:t>How is this objective addressed?</w:t>
            </w:r>
          </w:p>
        </w:tc>
        <w:tc>
          <w:tcPr>
            <w:tcW w:w="1440" w:type="dxa"/>
          </w:tcPr>
          <w:p w14:paraId="1DCCCD79" w14:textId="77777777" w:rsidR="00C808D1" w:rsidRDefault="00C808D1" w:rsidP="004B6B90">
            <w:pPr>
              <w:rPr>
                <w:b/>
                <w:bCs/>
                <w:sz w:val="20"/>
                <w:szCs w:val="20"/>
              </w:rPr>
            </w:pPr>
            <w:r>
              <w:rPr>
                <w:b/>
                <w:bCs/>
                <w:sz w:val="20"/>
                <w:szCs w:val="20"/>
              </w:rPr>
              <w:t>Data collection &amp; analysis methods</w:t>
            </w:r>
          </w:p>
        </w:tc>
        <w:tc>
          <w:tcPr>
            <w:tcW w:w="741" w:type="dxa"/>
          </w:tcPr>
          <w:p w14:paraId="54F3534D" w14:textId="77777777" w:rsidR="00C808D1" w:rsidRDefault="00C808D1" w:rsidP="004B6B90">
            <w:pPr>
              <w:rPr>
                <w:b/>
                <w:bCs/>
                <w:sz w:val="20"/>
                <w:szCs w:val="20"/>
              </w:rPr>
            </w:pPr>
            <w:r>
              <w:rPr>
                <w:b/>
                <w:bCs/>
                <w:sz w:val="20"/>
                <w:szCs w:val="20"/>
              </w:rPr>
              <w:t>Covered by which partners &amp; WPs?</w:t>
            </w:r>
          </w:p>
        </w:tc>
      </w:tr>
      <w:tr w:rsidR="00C808D1" w:rsidRPr="003921CE" w14:paraId="1F84792B" w14:textId="77777777" w:rsidTr="004B6B90">
        <w:tc>
          <w:tcPr>
            <w:tcW w:w="3325" w:type="dxa"/>
          </w:tcPr>
          <w:p w14:paraId="5976F7EB" w14:textId="77777777" w:rsidR="00C808D1" w:rsidRPr="003921CE" w:rsidRDefault="00C808D1" w:rsidP="004B6B90">
            <w:pPr>
              <w:rPr>
                <w:i/>
                <w:iCs/>
                <w:sz w:val="20"/>
                <w:szCs w:val="20"/>
              </w:rPr>
            </w:pPr>
            <w:r w:rsidRPr="003921CE">
              <w:rPr>
                <w:i/>
                <w:iCs/>
                <w:sz w:val="20"/>
                <w:szCs w:val="20"/>
              </w:rPr>
              <w:t xml:space="preserve">understanding enlargement priorities, opportunities, and challenges based on the perspective of </w:t>
            </w:r>
            <w:proofErr w:type="gramStart"/>
            <w:r w:rsidRPr="003921CE">
              <w:rPr>
                <w:i/>
                <w:iCs/>
                <w:sz w:val="20"/>
                <w:szCs w:val="20"/>
              </w:rPr>
              <w:t>a</w:t>
            </w:r>
            <w:proofErr w:type="gramEnd"/>
            <w:r w:rsidRPr="003921CE">
              <w:rPr>
                <w:i/>
                <w:iCs/>
                <w:sz w:val="20"/>
                <w:szCs w:val="20"/>
              </w:rPr>
              <w:t xml:space="preserve"> EU counting more than 30 Member States.</w:t>
            </w:r>
          </w:p>
        </w:tc>
        <w:tc>
          <w:tcPr>
            <w:tcW w:w="3510" w:type="dxa"/>
          </w:tcPr>
          <w:p w14:paraId="4411D8F3" w14:textId="77777777" w:rsidR="00C808D1" w:rsidRDefault="00C808D1" w:rsidP="004B6B90">
            <w:pPr>
              <w:rPr>
                <w:sz w:val="20"/>
                <w:szCs w:val="20"/>
              </w:rPr>
            </w:pPr>
            <w:r>
              <w:rPr>
                <w:sz w:val="20"/>
                <w:szCs w:val="20"/>
              </w:rPr>
              <w:t xml:space="preserve">Offer </w:t>
            </w:r>
            <w:r w:rsidRPr="000D2C53">
              <w:rPr>
                <w:sz w:val="20"/>
                <w:szCs w:val="20"/>
              </w:rPr>
              <w:t xml:space="preserve">an innovative comprehensive research framework </w:t>
            </w:r>
            <w:r>
              <w:rPr>
                <w:sz w:val="20"/>
                <w:szCs w:val="20"/>
              </w:rPr>
              <w:t>to i</w:t>
            </w:r>
            <w:r w:rsidRPr="003921CE">
              <w:rPr>
                <w:sz w:val="20"/>
                <w:szCs w:val="20"/>
              </w:rPr>
              <w:t>dentify</w:t>
            </w:r>
            <w:r>
              <w:rPr>
                <w:sz w:val="20"/>
                <w:szCs w:val="20"/>
              </w:rPr>
              <w:t xml:space="preserve"> and theorize</w:t>
            </w:r>
            <w:r w:rsidRPr="003921CE">
              <w:rPr>
                <w:sz w:val="20"/>
                <w:szCs w:val="20"/>
              </w:rPr>
              <w:t xml:space="preserve"> </w:t>
            </w:r>
            <w:r w:rsidRPr="00780D48">
              <w:rPr>
                <w:b/>
                <w:bCs/>
                <w:sz w:val="20"/>
                <w:szCs w:val="20"/>
              </w:rPr>
              <w:t>collective</w:t>
            </w:r>
            <w:r w:rsidRPr="003921CE">
              <w:rPr>
                <w:sz w:val="20"/>
                <w:szCs w:val="20"/>
              </w:rPr>
              <w:t xml:space="preserve"> EU </w:t>
            </w:r>
            <w:r>
              <w:rPr>
                <w:sz w:val="20"/>
                <w:szCs w:val="20"/>
              </w:rPr>
              <w:t xml:space="preserve">interests and the </w:t>
            </w:r>
            <w:r w:rsidRPr="003921CE">
              <w:rPr>
                <w:sz w:val="20"/>
                <w:szCs w:val="20"/>
              </w:rPr>
              <w:t>challenges</w:t>
            </w:r>
            <w:r>
              <w:rPr>
                <w:sz w:val="20"/>
                <w:szCs w:val="20"/>
              </w:rPr>
              <w:t xml:space="preserve"> arising from enlargement.</w:t>
            </w:r>
          </w:p>
          <w:p w14:paraId="7BBCAF4D" w14:textId="77777777" w:rsidR="00C808D1" w:rsidRDefault="00C808D1" w:rsidP="004B6B90">
            <w:pPr>
              <w:rPr>
                <w:sz w:val="20"/>
                <w:szCs w:val="20"/>
              </w:rPr>
            </w:pPr>
          </w:p>
          <w:p w14:paraId="109E12B0" w14:textId="77777777" w:rsidR="00C808D1" w:rsidRDefault="00C808D1" w:rsidP="004B6B90">
            <w:pPr>
              <w:rPr>
                <w:sz w:val="20"/>
                <w:szCs w:val="20"/>
              </w:rPr>
            </w:pPr>
            <w:r>
              <w:rPr>
                <w:sz w:val="20"/>
                <w:szCs w:val="20"/>
              </w:rPr>
              <w:t>Create a ‘</w:t>
            </w:r>
            <w:r w:rsidRPr="00BE442D">
              <w:rPr>
                <w:b/>
                <w:bCs/>
                <w:sz w:val="20"/>
                <w:szCs w:val="20"/>
              </w:rPr>
              <w:t>cost</w:t>
            </w:r>
            <w:r>
              <w:rPr>
                <w:b/>
                <w:bCs/>
                <w:sz w:val="20"/>
                <w:szCs w:val="20"/>
              </w:rPr>
              <w:t>s</w:t>
            </w:r>
            <w:r w:rsidRPr="00BE442D">
              <w:rPr>
                <w:b/>
                <w:bCs/>
                <w:sz w:val="20"/>
                <w:szCs w:val="20"/>
              </w:rPr>
              <w:t xml:space="preserve"> and benefits of enlargement matrix</w:t>
            </w:r>
            <w:r>
              <w:rPr>
                <w:b/>
                <w:bCs/>
                <w:sz w:val="20"/>
                <w:szCs w:val="20"/>
              </w:rPr>
              <w:t>’</w:t>
            </w:r>
            <w:r>
              <w:rPr>
                <w:sz w:val="20"/>
                <w:szCs w:val="20"/>
              </w:rPr>
              <w:t xml:space="preserve"> informed by knowledge on the immediate and l</w:t>
            </w:r>
            <w:r w:rsidRPr="003921CE">
              <w:rPr>
                <w:sz w:val="20"/>
                <w:szCs w:val="20"/>
              </w:rPr>
              <w:t>ong-term effects of previous phases of enlargement</w:t>
            </w:r>
            <w:r>
              <w:rPr>
                <w:sz w:val="20"/>
                <w:szCs w:val="20"/>
              </w:rPr>
              <w:t xml:space="preserve"> on the </w:t>
            </w:r>
            <w:proofErr w:type="gramStart"/>
            <w:r>
              <w:rPr>
                <w:sz w:val="20"/>
                <w:szCs w:val="20"/>
              </w:rPr>
              <w:t>EU;</w:t>
            </w:r>
            <w:proofErr w:type="gramEnd"/>
          </w:p>
          <w:p w14:paraId="1B3FAB34" w14:textId="77777777" w:rsidR="00C808D1" w:rsidRDefault="00C808D1" w:rsidP="004B6B90">
            <w:pPr>
              <w:rPr>
                <w:sz w:val="20"/>
                <w:szCs w:val="20"/>
              </w:rPr>
            </w:pPr>
          </w:p>
          <w:p w14:paraId="7497A561" w14:textId="77777777" w:rsidR="00C808D1" w:rsidRPr="003921CE" w:rsidRDefault="00C808D1" w:rsidP="004B6B90">
            <w:pPr>
              <w:rPr>
                <w:sz w:val="20"/>
                <w:szCs w:val="20"/>
              </w:rPr>
            </w:pPr>
            <w:r>
              <w:rPr>
                <w:sz w:val="20"/>
                <w:szCs w:val="20"/>
              </w:rPr>
              <w:t xml:space="preserve">Update previous knowledge with case-specific knowledge on candidate states. </w:t>
            </w:r>
          </w:p>
          <w:p w14:paraId="78B082FB" w14:textId="77777777" w:rsidR="00C808D1" w:rsidRPr="003921CE" w:rsidRDefault="00C808D1" w:rsidP="004B6B90">
            <w:pPr>
              <w:rPr>
                <w:sz w:val="20"/>
                <w:szCs w:val="20"/>
              </w:rPr>
            </w:pPr>
          </w:p>
        </w:tc>
        <w:tc>
          <w:tcPr>
            <w:tcW w:w="1440" w:type="dxa"/>
          </w:tcPr>
          <w:p w14:paraId="269DC40E" w14:textId="77777777" w:rsidR="00C808D1" w:rsidRDefault="00C808D1" w:rsidP="004B6B90">
            <w:pPr>
              <w:rPr>
                <w:sz w:val="20"/>
                <w:szCs w:val="20"/>
              </w:rPr>
            </w:pPr>
            <w:r>
              <w:rPr>
                <w:sz w:val="20"/>
                <w:szCs w:val="20"/>
              </w:rPr>
              <w:t xml:space="preserve">Review documents and strategies already released by the EU and include those priorities in our costs and benefits of enlargement systemic assessment. </w:t>
            </w:r>
          </w:p>
          <w:p w14:paraId="0D772415" w14:textId="77777777" w:rsidR="00C808D1" w:rsidRDefault="00C808D1" w:rsidP="004B6B90">
            <w:pPr>
              <w:rPr>
                <w:sz w:val="20"/>
                <w:szCs w:val="20"/>
              </w:rPr>
            </w:pPr>
          </w:p>
          <w:p w14:paraId="2EAFE8AF" w14:textId="77777777" w:rsidR="00C808D1" w:rsidRDefault="00C808D1" w:rsidP="004B6B90">
            <w:pPr>
              <w:rPr>
                <w:sz w:val="20"/>
                <w:szCs w:val="20"/>
              </w:rPr>
            </w:pPr>
            <w:r>
              <w:rPr>
                <w:sz w:val="20"/>
                <w:szCs w:val="20"/>
              </w:rPr>
              <w:t xml:space="preserve">Review effects of enlargement on multiple EU interests from unity to security and prosperity </w:t>
            </w:r>
          </w:p>
          <w:p w14:paraId="2D7E5E1D" w14:textId="77777777" w:rsidR="00C808D1" w:rsidRPr="003921CE" w:rsidRDefault="00C808D1" w:rsidP="004B6B90">
            <w:pPr>
              <w:rPr>
                <w:sz w:val="20"/>
                <w:szCs w:val="20"/>
              </w:rPr>
            </w:pPr>
          </w:p>
        </w:tc>
        <w:tc>
          <w:tcPr>
            <w:tcW w:w="741" w:type="dxa"/>
          </w:tcPr>
          <w:p w14:paraId="63ED3E86" w14:textId="77777777" w:rsidR="00C808D1" w:rsidRPr="003921CE" w:rsidRDefault="00C808D1" w:rsidP="004B6B90">
            <w:pPr>
              <w:rPr>
                <w:sz w:val="20"/>
                <w:szCs w:val="20"/>
              </w:rPr>
            </w:pPr>
          </w:p>
        </w:tc>
      </w:tr>
      <w:tr w:rsidR="00C808D1" w:rsidRPr="003921CE" w14:paraId="07C1F512" w14:textId="77777777" w:rsidTr="004B6B90">
        <w:tc>
          <w:tcPr>
            <w:tcW w:w="3325" w:type="dxa"/>
          </w:tcPr>
          <w:p w14:paraId="38291BF9" w14:textId="77777777" w:rsidR="00C808D1" w:rsidRPr="003921CE" w:rsidRDefault="00C808D1" w:rsidP="004B6B90">
            <w:pPr>
              <w:rPr>
                <w:i/>
                <w:iCs/>
                <w:sz w:val="20"/>
                <w:szCs w:val="20"/>
              </w:rPr>
            </w:pPr>
            <w:r w:rsidRPr="003921CE">
              <w:rPr>
                <w:i/>
                <w:iCs/>
                <w:sz w:val="20"/>
                <w:szCs w:val="20"/>
              </w:rPr>
              <w:t>EU Member States need to be better prepared</w:t>
            </w:r>
          </w:p>
        </w:tc>
        <w:tc>
          <w:tcPr>
            <w:tcW w:w="3510" w:type="dxa"/>
          </w:tcPr>
          <w:p w14:paraId="1C22DF86" w14:textId="77777777" w:rsidR="00C808D1" w:rsidRDefault="00C808D1" w:rsidP="004B6B90">
            <w:pPr>
              <w:rPr>
                <w:sz w:val="20"/>
                <w:szCs w:val="20"/>
              </w:rPr>
            </w:pPr>
            <w:r>
              <w:rPr>
                <w:sz w:val="20"/>
                <w:szCs w:val="20"/>
              </w:rPr>
              <w:t xml:space="preserve">Identify </w:t>
            </w:r>
            <w:r w:rsidRPr="00BE442D">
              <w:rPr>
                <w:b/>
                <w:bCs/>
                <w:sz w:val="20"/>
                <w:szCs w:val="20"/>
              </w:rPr>
              <w:t>st</w:t>
            </w:r>
            <w:r w:rsidRPr="00780D48">
              <w:rPr>
                <w:b/>
                <w:bCs/>
                <w:sz w:val="20"/>
                <w:szCs w:val="20"/>
              </w:rPr>
              <w:t>ate by state</w:t>
            </w:r>
            <w:r w:rsidRPr="003921CE">
              <w:rPr>
                <w:sz w:val="20"/>
                <w:szCs w:val="20"/>
              </w:rPr>
              <w:t xml:space="preserve"> vulnerabilities</w:t>
            </w:r>
            <w:r>
              <w:rPr>
                <w:sz w:val="20"/>
                <w:szCs w:val="20"/>
              </w:rPr>
              <w:t xml:space="preserve"> and </w:t>
            </w:r>
            <w:proofErr w:type="gramStart"/>
            <w:r>
              <w:rPr>
                <w:sz w:val="20"/>
                <w:szCs w:val="20"/>
              </w:rPr>
              <w:t>opportunities;</w:t>
            </w:r>
            <w:proofErr w:type="gramEnd"/>
          </w:p>
          <w:p w14:paraId="00E5D6C6" w14:textId="77777777" w:rsidR="00C808D1" w:rsidRDefault="00C808D1" w:rsidP="004B6B90">
            <w:pPr>
              <w:rPr>
                <w:sz w:val="20"/>
                <w:szCs w:val="20"/>
              </w:rPr>
            </w:pPr>
          </w:p>
          <w:p w14:paraId="0C6D1B29" w14:textId="77777777" w:rsidR="00C808D1" w:rsidRDefault="00C808D1" w:rsidP="004B6B90">
            <w:pPr>
              <w:rPr>
                <w:sz w:val="20"/>
                <w:szCs w:val="20"/>
              </w:rPr>
            </w:pPr>
            <w:r>
              <w:rPr>
                <w:sz w:val="20"/>
                <w:szCs w:val="20"/>
              </w:rPr>
              <w:t xml:space="preserve">Focus on the tensions arising from specific bilateral relations between member states and candidate </w:t>
            </w:r>
            <w:proofErr w:type="gramStart"/>
            <w:r>
              <w:rPr>
                <w:sz w:val="20"/>
                <w:szCs w:val="20"/>
              </w:rPr>
              <w:t>countries;</w:t>
            </w:r>
            <w:proofErr w:type="gramEnd"/>
          </w:p>
          <w:p w14:paraId="50B7B455" w14:textId="77777777" w:rsidR="00C808D1" w:rsidRDefault="00C808D1" w:rsidP="004B6B90">
            <w:pPr>
              <w:rPr>
                <w:sz w:val="20"/>
                <w:szCs w:val="20"/>
              </w:rPr>
            </w:pPr>
          </w:p>
          <w:p w14:paraId="328E0E50" w14:textId="77777777" w:rsidR="00C808D1" w:rsidRPr="003921CE" w:rsidRDefault="00C808D1" w:rsidP="004B6B90">
            <w:pPr>
              <w:rPr>
                <w:sz w:val="20"/>
                <w:szCs w:val="20"/>
              </w:rPr>
            </w:pPr>
            <w:r>
              <w:rPr>
                <w:sz w:val="20"/>
                <w:szCs w:val="20"/>
              </w:rPr>
              <w:lastRenderedPageBreak/>
              <w:t>Suggest and test the feasibility of interventions</w:t>
            </w:r>
            <w:r w:rsidRPr="003921CE">
              <w:rPr>
                <w:sz w:val="20"/>
                <w:szCs w:val="20"/>
              </w:rPr>
              <w:t xml:space="preserve"> to limit </w:t>
            </w:r>
            <w:r>
              <w:rPr>
                <w:sz w:val="20"/>
                <w:szCs w:val="20"/>
              </w:rPr>
              <w:t>vulnerabilities</w:t>
            </w:r>
            <w:r w:rsidRPr="003921CE">
              <w:rPr>
                <w:sz w:val="20"/>
                <w:szCs w:val="20"/>
              </w:rPr>
              <w:t>.</w:t>
            </w:r>
          </w:p>
        </w:tc>
        <w:tc>
          <w:tcPr>
            <w:tcW w:w="1440" w:type="dxa"/>
          </w:tcPr>
          <w:p w14:paraId="0EC7E4BD" w14:textId="77777777" w:rsidR="00C808D1" w:rsidRDefault="00C808D1" w:rsidP="004B6B90">
            <w:pPr>
              <w:rPr>
                <w:sz w:val="20"/>
                <w:szCs w:val="20"/>
              </w:rPr>
            </w:pPr>
            <w:r w:rsidRPr="003921CE">
              <w:rPr>
                <w:sz w:val="20"/>
                <w:szCs w:val="20"/>
              </w:rPr>
              <w:lastRenderedPageBreak/>
              <w:t>Create a risk</w:t>
            </w:r>
            <w:r>
              <w:rPr>
                <w:sz w:val="20"/>
                <w:szCs w:val="20"/>
              </w:rPr>
              <w:t>/threats</w:t>
            </w:r>
            <w:r w:rsidRPr="003921CE">
              <w:rPr>
                <w:sz w:val="20"/>
                <w:szCs w:val="20"/>
              </w:rPr>
              <w:t xml:space="preserve"> scorecard for each member state on key dimensions</w:t>
            </w:r>
            <w:r>
              <w:rPr>
                <w:sz w:val="20"/>
                <w:szCs w:val="20"/>
              </w:rPr>
              <w:t xml:space="preserve"> through expert analysis</w:t>
            </w:r>
          </w:p>
          <w:p w14:paraId="259ED9B0" w14:textId="77777777" w:rsidR="00C808D1" w:rsidRDefault="00C808D1" w:rsidP="004B6B90">
            <w:pPr>
              <w:rPr>
                <w:sz w:val="20"/>
                <w:szCs w:val="20"/>
              </w:rPr>
            </w:pPr>
          </w:p>
          <w:p w14:paraId="5A120329" w14:textId="77777777" w:rsidR="00C808D1" w:rsidRPr="003921CE" w:rsidRDefault="00C808D1" w:rsidP="004B6B90">
            <w:pPr>
              <w:rPr>
                <w:sz w:val="20"/>
                <w:szCs w:val="20"/>
              </w:rPr>
            </w:pPr>
          </w:p>
        </w:tc>
        <w:tc>
          <w:tcPr>
            <w:tcW w:w="741" w:type="dxa"/>
          </w:tcPr>
          <w:p w14:paraId="00102E04" w14:textId="77777777" w:rsidR="00C808D1" w:rsidRPr="003921CE" w:rsidRDefault="00C808D1" w:rsidP="004B6B90">
            <w:pPr>
              <w:rPr>
                <w:sz w:val="20"/>
                <w:szCs w:val="20"/>
              </w:rPr>
            </w:pPr>
          </w:p>
        </w:tc>
      </w:tr>
      <w:tr w:rsidR="00C808D1" w:rsidRPr="003921CE" w14:paraId="22FC13DD" w14:textId="77777777" w:rsidTr="004B6B90">
        <w:tc>
          <w:tcPr>
            <w:tcW w:w="3325" w:type="dxa"/>
          </w:tcPr>
          <w:p w14:paraId="36E36E0F" w14:textId="77777777" w:rsidR="00C808D1" w:rsidRPr="003921CE" w:rsidRDefault="00C808D1" w:rsidP="004B6B90">
            <w:pPr>
              <w:rPr>
                <w:i/>
                <w:iCs/>
                <w:sz w:val="20"/>
                <w:szCs w:val="20"/>
              </w:rPr>
            </w:pPr>
            <w:r w:rsidRPr="003921CE">
              <w:rPr>
                <w:i/>
                <w:iCs/>
                <w:sz w:val="20"/>
                <w:szCs w:val="20"/>
              </w:rPr>
              <w:t xml:space="preserve">citizens and civil society must gain a </w:t>
            </w:r>
          </w:p>
          <w:p w14:paraId="4E0217A0" w14:textId="77777777" w:rsidR="00C808D1" w:rsidRPr="003921CE" w:rsidRDefault="00C808D1" w:rsidP="004B6B90">
            <w:pPr>
              <w:rPr>
                <w:i/>
                <w:iCs/>
                <w:sz w:val="20"/>
                <w:szCs w:val="20"/>
              </w:rPr>
            </w:pPr>
            <w:r w:rsidRPr="003921CE">
              <w:rPr>
                <w:i/>
                <w:iCs/>
                <w:sz w:val="20"/>
                <w:szCs w:val="20"/>
              </w:rPr>
              <w:t>better understanding of what enlargement entails</w:t>
            </w:r>
          </w:p>
        </w:tc>
        <w:tc>
          <w:tcPr>
            <w:tcW w:w="3510" w:type="dxa"/>
          </w:tcPr>
          <w:p w14:paraId="41512526" w14:textId="77777777" w:rsidR="00C808D1" w:rsidRPr="003921CE" w:rsidRDefault="00C808D1" w:rsidP="004B6B90">
            <w:pPr>
              <w:rPr>
                <w:sz w:val="20"/>
                <w:szCs w:val="20"/>
              </w:rPr>
            </w:pPr>
            <w:r w:rsidRPr="003921CE">
              <w:rPr>
                <w:sz w:val="20"/>
                <w:szCs w:val="20"/>
              </w:rPr>
              <w:t xml:space="preserve">Identify citizens perspectives towards enlargement and the main sources of concern; test and propose </w:t>
            </w:r>
            <w:r>
              <w:rPr>
                <w:sz w:val="20"/>
                <w:szCs w:val="20"/>
              </w:rPr>
              <w:t>correctives</w:t>
            </w:r>
            <w:r w:rsidRPr="003921CE">
              <w:rPr>
                <w:sz w:val="20"/>
                <w:szCs w:val="20"/>
              </w:rPr>
              <w:t xml:space="preserve"> which can be large scale, but should also target key societal stake holders who are information sharing hubs/influencers</w:t>
            </w:r>
          </w:p>
        </w:tc>
        <w:tc>
          <w:tcPr>
            <w:tcW w:w="1440" w:type="dxa"/>
          </w:tcPr>
          <w:p w14:paraId="610AFC58" w14:textId="77777777" w:rsidR="00C808D1" w:rsidRPr="003921CE" w:rsidRDefault="00C808D1" w:rsidP="004B6B90">
            <w:pPr>
              <w:rPr>
                <w:sz w:val="20"/>
                <w:szCs w:val="20"/>
              </w:rPr>
            </w:pPr>
          </w:p>
        </w:tc>
        <w:tc>
          <w:tcPr>
            <w:tcW w:w="741" w:type="dxa"/>
          </w:tcPr>
          <w:p w14:paraId="7D7F9821" w14:textId="77777777" w:rsidR="00C808D1" w:rsidRPr="003921CE" w:rsidRDefault="00C808D1" w:rsidP="004B6B90">
            <w:pPr>
              <w:rPr>
                <w:sz w:val="20"/>
                <w:szCs w:val="20"/>
              </w:rPr>
            </w:pPr>
          </w:p>
        </w:tc>
      </w:tr>
      <w:tr w:rsidR="00C808D1" w:rsidRPr="003921CE" w14:paraId="3B2FD27D" w14:textId="77777777" w:rsidTr="004B6B90">
        <w:tc>
          <w:tcPr>
            <w:tcW w:w="3325" w:type="dxa"/>
          </w:tcPr>
          <w:p w14:paraId="3B92D216" w14:textId="77777777" w:rsidR="00C808D1" w:rsidRPr="003921CE" w:rsidRDefault="00C808D1" w:rsidP="004B6B90">
            <w:pPr>
              <w:rPr>
                <w:i/>
                <w:iCs/>
                <w:sz w:val="20"/>
                <w:szCs w:val="20"/>
              </w:rPr>
            </w:pPr>
            <w:r w:rsidRPr="003921CE">
              <w:rPr>
                <w:i/>
                <w:iCs/>
                <w:sz w:val="20"/>
                <w:szCs w:val="20"/>
              </w:rPr>
              <w:t>Improve (…) the EU Member States’ understanding of the history, political and economic situation of the candidate countries through socio-historical research, combined with a legal and economic approach</w:t>
            </w:r>
          </w:p>
        </w:tc>
        <w:tc>
          <w:tcPr>
            <w:tcW w:w="3510" w:type="dxa"/>
          </w:tcPr>
          <w:p w14:paraId="0A9276CE" w14:textId="77777777" w:rsidR="00C808D1" w:rsidRDefault="00C808D1" w:rsidP="004B6B90">
            <w:pPr>
              <w:rPr>
                <w:sz w:val="20"/>
                <w:szCs w:val="20"/>
              </w:rPr>
            </w:pPr>
            <w:r>
              <w:rPr>
                <w:sz w:val="20"/>
                <w:szCs w:val="20"/>
              </w:rPr>
              <w:t xml:space="preserve">Gather information on similarities and differences between candidate states and most similar and most different current EU member states. </w:t>
            </w:r>
          </w:p>
          <w:p w14:paraId="2FE46406" w14:textId="77777777" w:rsidR="00C808D1" w:rsidRDefault="00C808D1" w:rsidP="004B6B90">
            <w:pPr>
              <w:rPr>
                <w:sz w:val="20"/>
                <w:szCs w:val="20"/>
              </w:rPr>
            </w:pPr>
          </w:p>
          <w:p w14:paraId="67DE13F1" w14:textId="77777777" w:rsidR="00C808D1" w:rsidRDefault="00C808D1" w:rsidP="004B6B90">
            <w:pPr>
              <w:rPr>
                <w:sz w:val="20"/>
                <w:szCs w:val="20"/>
              </w:rPr>
            </w:pPr>
            <w:r>
              <w:rPr>
                <w:sz w:val="20"/>
                <w:szCs w:val="20"/>
              </w:rPr>
              <w:t>Present citizens and information influencers with information from this comparative perspective.</w:t>
            </w:r>
          </w:p>
          <w:p w14:paraId="4DAFF59E" w14:textId="77777777" w:rsidR="00C808D1" w:rsidRPr="003921CE" w:rsidRDefault="00C808D1" w:rsidP="004B6B90">
            <w:pPr>
              <w:rPr>
                <w:sz w:val="20"/>
                <w:szCs w:val="20"/>
              </w:rPr>
            </w:pPr>
          </w:p>
        </w:tc>
        <w:tc>
          <w:tcPr>
            <w:tcW w:w="1440" w:type="dxa"/>
          </w:tcPr>
          <w:p w14:paraId="726E8BE8" w14:textId="77777777" w:rsidR="00C808D1" w:rsidRPr="003921CE" w:rsidRDefault="00C808D1" w:rsidP="004B6B90">
            <w:pPr>
              <w:rPr>
                <w:sz w:val="20"/>
                <w:szCs w:val="20"/>
              </w:rPr>
            </w:pPr>
            <w:r w:rsidRPr="003921CE">
              <w:rPr>
                <w:i/>
                <w:iCs/>
                <w:sz w:val="20"/>
                <w:szCs w:val="20"/>
              </w:rPr>
              <w:t>socio-historical research, combined with a legal and economic approach</w:t>
            </w:r>
          </w:p>
        </w:tc>
        <w:tc>
          <w:tcPr>
            <w:tcW w:w="741" w:type="dxa"/>
          </w:tcPr>
          <w:p w14:paraId="15FA377F" w14:textId="77777777" w:rsidR="00C808D1" w:rsidRPr="003921CE" w:rsidRDefault="00C808D1" w:rsidP="004B6B90">
            <w:pPr>
              <w:rPr>
                <w:sz w:val="20"/>
                <w:szCs w:val="20"/>
              </w:rPr>
            </w:pPr>
          </w:p>
        </w:tc>
      </w:tr>
      <w:tr w:rsidR="00C808D1" w:rsidRPr="003921CE" w14:paraId="62F2899F" w14:textId="77777777" w:rsidTr="004B6B90">
        <w:tc>
          <w:tcPr>
            <w:tcW w:w="3325" w:type="dxa"/>
          </w:tcPr>
          <w:p w14:paraId="34AAC699" w14:textId="77777777" w:rsidR="00C808D1" w:rsidRPr="003921CE" w:rsidRDefault="00C808D1" w:rsidP="004B6B90">
            <w:pPr>
              <w:rPr>
                <w:i/>
                <w:iCs/>
                <w:sz w:val="20"/>
                <w:szCs w:val="20"/>
              </w:rPr>
            </w:pPr>
            <w:r w:rsidRPr="003921CE">
              <w:rPr>
                <w:i/>
                <w:iCs/>
                <w:sz w:val="20"/>
                <w:szCs w:val="20"/>
              </w:rPr>
              <w:t>support EU citizens and civil society to gain a better understanding of challenges and opportunities related to potential future enlargements of the EU.</w:t>
            </w:r>
          </w:p>
        </w:tc>
        <w:tc>
          <w:tcPr>
            <w:tcW w:w="3510" w:type="dxa"/>
          </w:tcPr>
          <w:p w14:paraId="1691B679" w14:textId="77777777" w:rsidR="00C808D1" w:rsidRPr="003921CE" w:rsidRDefault="00C808D1" w:rsidP="004B6B90">
            <w:pPr>
              <w:rPr>
                <w:sz w:val="20"/>
                <w:szCs w:val="20"/>
              </w:rPr>
            </w:pPr>
            <w:r>
              <w:rPr>
                <w:sz w:val="20"/>
                <w:szCs w:val="20"/>
              </w:rPr>
              <w:t xml:space="preserve">Construct interactive tools and fora to present that collected information on the benefits of enlargement and the costs of non-enlargement. </w:t>
            </w:r>
          </w:p>
        </w:tc>
        <w:tc>
          <w:tcPr>
            <w:tcW w:w="1440" w:type="dxa"/>
          </w:tcPr>
          <w:p w14:paraId="6F120018" w14:textId="77777777" w:rsidR="00C808D1" w:rsidRPr="003921CE" w:rsidRDefault="00C808D1" w:rsidP="004B6B90">
            <w:pPr>
              <w:rPr>
                <w:sz w:val="20"/>
                <w:szCs w:val="20"/>
              </w:rPr>
            </w:pPr>
          </w:p>
        </w:tc>
        <w:tc>
          <w:tcPr>
            <w:tcW w:w="741" w:type="dxa"/>
          </w:tcPr>
          <w:p w14:paraId="209A8524" w14:textId="77777777" w:rsidR="00C808D1" w:rsidRPr="003921CE" w:rsidRDefault="00C808D1" w:rsidP="004B6B90">
            <w:pPr>
              <w:rPr>
                <w:sz w:val="20"/>
                <w:szCs w:val="20"/>
              </w:rPr>
            </w:pPr>
          </w:p>
        </w:tc>
      </w:tr>
      <w:tr w:rsidR="00C808D1" w:rsidRPr="003921CE" w14:paraId="54C7D16C" w14:textId="77777777" w:rsidTr="004B6B90">
        <w:tc>
          <w:tcPr>
            <w:tcW w:w="3325" w:type="dxa"/>
          </w:tcPr>
          <w:p w14:paraId="0D9686E9" w14:textId="77777777" w:rsidR="00C808D1" w:rsidRPr="003921CE" w:rsidRDefault="00C808D1" w:rsidP="004B6B90">
            <w:pPr>
              <w:rPr>
                <w:i/>
                <w:iCs/>
                <w:sz w:val="20"/>
                <w:szCs w:val="20"/>
              </w:rPr>
            </w:pPr>
            <w:r w:rsidRPr="003921CE">
              <w:rPr>
                <w:i/>
                <w:iCs/>
                <w:sz w:val="20"/>
                <w:szCs w:val="20"/>
              </w:rPr>
              <w:t>Reflecting on previous enlargements, proposals should provide thematic insights on lessons learned and identify potential similarities with the candidate countries, focusing particularly on democracy, rule of law and governance-related topics</w:t>
            </w:r>
          </w:p>
        </w:tc>
        <w:tc>
          <w:tcPr>
            <w:tcW w:w="3510" w:type="dxa"/>
          </w:tcPr>
          <w:p w14:paraId="62C24C91" w14:textId="77777777" w:rsidR="00C808D1" w:rsidRPr="003921CE" w:rsidRDefault="00C808D1" w:rsidP="004B6B90">
            <w:pPr>
              <w:rPr>
                <w:sz w:val="20"/>
                <w:szCs w:val="20"/>
              </w:rPr>
            </w:pPr>
            <w:r w:rsidRPr="003921CE">
              <w:rPr>
                <w:sz w:val="20"/>
                <w:szCs w:val="20"/>
              </w:rPr>
              <w:t xml:space="preserve">Compare EU integration challenges and outcomes in European countries and particularly in those countries where support for </w:t>
            </w:r>
            <w:r>
              <w:rPr>
                <w:sz w:val="20"/>
                <w:szCs w:val="20"/>
              </w:rPr>
              <w:t>enlargement</w:t>
            </w:r>
            <w:r w:rsidRPr="003921CE">
              <w:rPr>
                <w:sz w:val="20"/>
                <w:szCs w:val="20"/>
              </w:rPr>
              <w:t xml:space="preserve"> is low. </w:t>
            </w:r>
          </w:p>
        </w:tc>
        <w:tc>
          <w:tcPr>
            <w:tcW w:w="1440" w:type="dxa"/>
          </w:tcPr>
          <w:p w14:paraId="53005228" w14:textId="77777777" w:rsidR="00C808D1" w:rsidRPr="003921CE" w:rsidRDefault="00C808D1" w:rsidP="004B6B90">
            <w:pPr>
              <w:rPr>
                <w:sz w:val="20"/>
                <w:szCs w:val="20"/>
              </w:rPr>
            </w:pPr>
          </w:p>
        </w:tc>
        <w:tc>
          <w:tcPr>
            <w:tcW w:w="741" w:type="dxa"/>
          </w:tcPr>
          <w:p w14:paraId="4E5CAF8F" w14:textId="77777777" w:rsidR="00C808D1" w:rsidRPr="003921CE" w:rsidRDefault="00C808D1" w:rsidP="004B6B90">
            <w:pPr>
              <w:rPr>
                <w:sz w:val="20"/>
                <w:szCs w:val="20"/>
              </w:rPr>
            </w:pPr>
          </w:p>
        </w:tc>
      </w:tr>
      <w:tr w:rsidR="00C808D1" w:rsidRPr="003921CE" w14:paraId="013398BD" w14:textId="77777777" w:rsidTr="004B6B90">
        <w:tc>
          <w:tcPr>
            <w:tcW w:w="3325" w:type="dxa"/>
          </w:tcPr>
          <w:p w14:paraId="10B9F939" w14:textId="77777777" w:rsidR="00C808D1" w:rsidRPr="003921CE" w:rsidRDefault="00C808D1" w:rsidP="004B6B90">
            <w:pPr>
              <w:rPr>
                <w:i/>
                <w:iCs/>
                <w:sz w:val="20"/>
                <w:szCs w:val="20"/>
              </w:rPr>
            </w:pPr>
            <w:r w:rsidRPr="003921CE">
              <w:rPr>
                <w:i/>
                <w:iCs/>
                <w:sz w:val="20"/>
                <w:szCs w:val="20"/>
              </w:rPr>
              <w:t xml:space="preserve">Adopting a flexible and adaptive approach to enlargement, responsive to geopolitical </w:t>
            </w:r>
          </w:p>
          <w:p w14:paraId="499AC324" w14:textId="77777777" w:rsidR="00C808D1" w:rsidRPr="003921CE" w:rsidRDefault="00C808D1" w:rsidP="004B6B90">
            <w:pPr>
              <w:rPr>
                <w:i/>
                <w:iCs/>
                <w:sz w:val="20"/>
                <w:szCs w:val="20"/>
              </w:rPr>
            </w:pPr>
            <w:r w:rsidRPr="003921CE">
              <w:rPr>
                <w:i/>
                <w:iCs/>
                <w:sz w:val="20"/>
                <w:szCs w:val="20"/>
              </w:rPr>
              <w:t>dynamics and regional challenges, might be necessary.</w:t>
            </w:r>
          </w:p>
        </w:tc>
        <w:tc>
          <w:tcPr>
            <w:tcW w:w="3510" w:type="dxa"/>
          </w:tcPr>
          <w:p w14:paraId="513D2833" w14:textId="77777777" w:rsidR="00C808D1" w:rsidRDefault="00C808D1" w:rsidP="004B6B90">
            <w:pPr>
              <w:rPr>
                <w:sz w:val="20"/>
                <w:szCs w:val="20"/>
              </w:rPr>
            </w:pPr>
            <w:r w:rsidRPr="003921CE">
              <w:rPr>
                <w:sz w:val="20"/>
                <w:szCs w:val="20"/>
              </w:rPr>
              <w:t xml:space="preserve">Theorize and propose realistic ‘staged accession’ solutions that are not detrimental to pro-EU attitudes in candidate states. </w:t>
            </w:r>
          </w:p>
          <w:p w14:paraId="323C0A7D" w14:textId="77777777" w:rsidR="00C808D1" w:rsidRDefault="00C808D1" w:rsidP="004B6B90">
            <w:pPr>
              <w:rPr>
                <w:sz w:val="20"/>
                <w:szCs w:val="20"/>
              </w:rPr>
            </w:pPr>
            <w:r w:rsidRPr="003921CE">
              <w:rPr>
                <w:sz w:val="20"/>
                <w:szCs w:val="20"/>
              </w:rPr>
              <w:t xml:space="preserve">Test whether proposals are perceived as credible among the citizens of key candidate countries. </w:t>
            </w:r>
          </w:p>
          <w:p w14:paraId="446B2EB5" w14:textId="77777777" w:rsidR="00C808D1" w:rsidRPr="003921CE" w:rsidRDefault="00C808D1" w:rsidP="004B6B90">
            <w:pPr>
              <w:rPr>
                <w:sz w:val="20"/>
                <w:szCs w:val="20"/>
              </w:rPr>
            </w:pPr>
            <w:r w:rsidRPr="003921CE">
              <w:rPr>
                <w:sz w:val="20"/>
                <w:szCs w:val="20"/>
              </w:rPr>
              <w:t>Suggest interventions based on results.</w:t>
            </w:r>
          </w:p>
        </w:tc>
        <w:tc>
          <w:tcPr>
            <w:tcW w:w="1440" w:type="dxa"/>
          </w:tcPr>
          <w:p w14:paraId="5EEBB2AA" w14:textId="77777777" w:rsidR="00C808D1" w:rsidRPr="003921CE" w:rsidRDefault="00C808D1" w:rsidP="004B6B90">
            <w:pPr>
              <w:rPr>
                <w:sz w:val="20"/>
                <w:szCs w:val="20"/>
              </w:rPr>
            </w:pPr>
          </w:p>
        </w:tc>
        <w:tc>
          <w:tcPr>
            <w:tcW w:w="741" w:type="dxa"/>
          </w:tcPr>
          <w:p w14:paraId="13320697" w14:textId="77777777" w:rsidR="00C808D1" w:rsidRPr="003921CE" w:rsidRDefault="00C808D1" w:rsidP="004B6B90">
            <w:pPr>
              <w:rPr>
                <w:sz w:val="20"/>
                <w:szCs w:val="20"/>
              </w:rPr>
            </w:pPr>
          </w:p>
        </w:tc>
      </w:tr>
      <w:tr w:rsidR="00C808D1" w:rsidRPr="003921CE" w14:paraId="59C14AD8" w14:textId="77777777" w:rsidTr="004B6B90">
        <w:tc>
          <w:tcPr>
            <w:tcW w:w="3325" w:type="dxa"/>
          </w:tcPr>
          <w:p w14:paraId="337741E2" w14:textId="77777777" w:rsidR="00C808D1" w:rsidRPr="003921CE" w:rsidRDefault="00C808D1" w:rsidP="004B6B90">
            <w:pPr>
              <w:rPr>
                <w:i/>
                <w:iCs/>
                <w:sz w:val="20"/>
                <w:szCs w:val="20"/>
              </w:rPr>
            </w:pPr>
            <w:r w:rsidRPr="003921CE">
              <w:rPr>
                <w:i/>
                <w:iCs/>
                <w:sz w:val="20"/>
                <w:szCs w:val="20"/>
              </w:rPr>
              <w:t xml:space="preserve">Utilizing foresight and scenario planning can help the EU and the Member States to anticipate future changes and strategically </w:t>
            </w:r>
          </w:p>
          <w:p w14:paraId="01274FED" w14:textId="77777777" w:rsidR="00C808D1" w:rsidRPr="003921CE" w:rsidRDefault="00C808D1" w:rsidP="004B6B90">
            <w:pPr>
              <w:rPr>
                <w:i/>
                <w:iCs/>
                <w:sz w:val="20"/>
                <w:szCs w:val="20"/>
              </w:rPr>
            </w:pPr>
            <w:r w:rsidRPr="003921CE">
              <w:rPr>
                <w:i/>
                <w:iCs/>
                <w:sz w:val="20"/>
                <w:szCs w:val="20"/>
              </w:rPr>
              <w:t>manage the enlargement process.</w:t>
            </w:r>
          </w:p>
        </w:tc>
        <w:tc>
          <w:tcPr>
            <w:tcW w:w="3510" w:type="dxa"/>
          </w:tcPr>
          <w:p w14:paraId="5C31E763" w14:textId="77777777" w:rsidR="00C808D1" w:rsidRDefault="00C808D1" w:rsidP="004B6B90">
            <w:pPr>
              <w:rPr>
                <w:sz w:val="20"/>
                <w:szCs w:val="20"/>
              </w:rPr>
            </w:pPr>
            <w:r>
              <w:rPr>
                <w:sz w:val="20"/>
                <w:szCs w:val="20"/>
              </w:rPr>
              <w:t xml:space="preserve">Recognize impact (high, moderate and low) of vulnerabilities that each candidate state brings on main collective EU interests and individual member states interests.  </w:t>
            </w:r>
          </w:p>
          <w:p w14:paraId="0186B093" w14:textId="77777777" w:rsidR="00C808D1" w:rsidRDefault="00C808D1" w:rsidP="004B6B90">
            <w:pPr>
              <w:rPr>
                <w:sz w:val="20"/>
                <w:szCs w:val="20"/>
              </w:rPr>
            </w:pPr>
          </w:p>
          <w:p w14:paraId="2730B871" w14:textId="77777777" w:rsidR="00C808D1" w:rsidRPr="003921CE" w:rsidRDefault="00C808D1" w:rsidP="004B6B90">
            <w:pPr>
              <w:rPr>
                <w:sz w:val="20"/>
                <w:szCs w:val="20"/>
              </w:rPr>
            </w:pPr>
          </w:p>
        </w:tc>
        <w:tc>
          <w:tcPr>
            <w:tcW w:w="1440" w:type="dxa"/>
          </w:tcPr>
          <w:p w14:paraId="13209402" w14:textId="77777777" w:rsidR="00C808D1" w:rsidRPr="003921CE" w:rsidRDefault="00C808D1" w:rsidP="004B6B90">
            <w:pPr>
              <w:rPr>
                <w:sz w:val="20"/>
                <w:szCs w:val="20"/>
              </w:rPr>
            </w:pPr>
            <w:r w:rsidRPr="003921CE">
              <w:rPr>
                <w:sz w:val="20"/>
                <w:szCs w:val="20"/>
              </w:rPr>
              <w:t xml:space="preserve">Here we can propose a </w:t>
            </w:r>
            <w:r>
              <w:rPr>
                <w:sz w:val="20"/>
                <w:szCs w:val="20"/>
              </w:rPr>
              <w:t xml:space="preserve">dynamic </w:t>
            </w:r>
            <w:r w:rsidRPr="003921CE">
              <w:rPr>
                <w:sz w:val="20"/>
                <w:szCs w:val="20"/>
              </w:rPr>
              <w:t>risk monitor that is regularly updated</w:t>
            </w:r>
            <w:r>
              <w:rPr>
                <w:sz w:val="20"/>
                <w:szCs w:val="20"/>
              </w:rPr>
              <w:t>, forecasting exercises with focus groups.</w:t>
            </w:r>
          </w:p>
        </w:tc>
        <w:tc>
          <w:tcPr>
            <w:tcW w:w="741" w:type="dxa"/>
          </w:tcPr>
          <w:p w14:paraId="63DABE3E" w14:textId="77777777" w:rsidR="00C808D1" w:rsidRPr="003921CE" w:rsidRDefault="00C808D1" w:rsidP="004B6B90">
            <w:pPr>
              <w:rPr>
                <w:sz w:val="20"/>
                <w:szCs w:val="20"/>
              </w:rPr>
            </w:pPr>
          </w:p>
        </w:tc>
      </w:tr>
      <w:tr w:rsidR="00C808D1" w:rsidRPr="003921CE" w14:paraId="54FD30BA" w14:textId="77777777" w:rsidTr="004B6B90">
        <w:tc>
          <w:tcPr>
            <w:tcW w:w="3325" w:type="dxa"/>
          </w:tcPr>
          <w:p w14:paraId="67611B6E" w14:textId="77777777" w:rsidR="00C808D1" w:rsidRPr="00ED05D0" w:rsidRDefault="00C808D1" w:rsidP="004B6B90">
            <w:pPr>
              <w:rPr>
                <w:i/>
                <w:iCs/>
                <w:sz w:val="20"/>
                <w:szCs w:val="20"/>
              </w:rPr>
            </w:pPr>
            <w:r w:rsidRPr="00ED05D0">
              <w:rPr>
                <w:i/>
                <w:iCs/>
                <w:sz w:val="20"/>
                <w:szCs w:val="20"/>
              </w:rPr>
              <w:t>This approach can also consider differentiation within EU governance to build resilient, inclusive, and participatory societies.</w:t>
            </w:r>
          </w:p>
        </w:tc>
        <w:tc>
          <w:tcPr>
            <w:tcW w:w="3510" w:type="dxa"/>
          </w:tcPr>
          <w:p w14:paraId="1366386F" w14:textId="77777777" w:rsidR="00C808D1" w:rsidRPr="003921CE" w:rsidRDefault="00C808D1" w:rsidP="004B6B90">
            <w:pPr>
              <w:rPr>
                <w:sz w:val="20"/>
                <w:szCs w:val="20"/>
              </w:rPr>
            </w:pPr>
            <w:r>
              <w:rPr>
                <w:sz w:val="20"/>
                <w:szCs w:val="20"/>
              </w:rPr>
              <w:t xml:space="preserve">Create a comparative study of the role of alternatives to enlargement. Analyze costs and benefits. </w:t>
            </w:r>
          </w:p>
        </w:tc>
        <w:tc>
          <w:tcPr>
            <w:tcW w:w="1440" w:type="dxa"/>
          </w:tcPr>
          <w:p w14:paraId="538FBC43" w14:textId="77777777" w:rsidR="00C808D1" w:rsidRPr="003921CE" w:rsidRDefault="00C808D1" w:rsidP="004B6B90">
            <w:pPr>
              <w:rPr>
                <w:sz w:val="20"/>
                <w:szCs w:val="20"/>
              </w:rPr>
            </w:pPr>
          </w:p>
        </w:tc>
        <w:tc>
          <w:tcPr>
            <w:tcW w:w="741" w:type="dxa"/>
          </w:tcPr>
          <w:p w14:paraId="4C362A2F" w14:textId="77777777" w:rsidR="00C808D1" w:rsidRPr="003921CE" w:rsidRDefault="00C808D1" w:rsidP="004B6B90">
            <w:pPr>
              <w:rPr>
                <w:sz w:val="20"/>
                <w:szCs w:val="20"/>
              </w:rPr>
            </w:pPr>
          </w:p>
        </w:tc>
      </w:tr>
      <w:tr w:rsidR="00C808D1" w:rsidRPr="003921CE" w14:paraId="5DAFF040" w14:textId="77777777" w:rsidTr="004B6B90">
        <w:tc>
          <w:tcPr>
            <w:tcW w:w="3325" w:type="dxa"/>
          </w:tcPr>
          <w:p w14:paraId="10433FBE" w14:textId="77777777" w:rsidR="00C808D1" w:rsidRPr="003921CE" w:rsidRDefault="00C808D1" w:rsidP="004B6B90">
            <w:pPr>
              <w:rPr>
                <w:sz w:val="20"/>
                <w:szCs w:val="20"/>
              </w:rPr>
            </w:pPr>
            <w:r w:rsidRPr="00C81C9F">
              <w:rPr>
                <w:sz w:val="20"/>
                <w:szCs w:val="20"/>
              </w:rPr>
              <w:t xml:space="preserve">A comparative analysis of the terms and conditions issued by Member States upon joining the Union, such </w:t>
            </w:r>
            <w:r w:rsidRPr="00C81C9F">
              <w:rPr>
                <w:sz w:val="20"/>
                <w:szCs w:val="20"/>
              </w:rPr>
              <w:lastRenderedPageBreak/>
              <w:t>as freedom of movement, could serve as interesting case studies.</w:t>
            </w:r>
          </w:p>
        </w:tc>
        <w:tc>
          <w:tcPr>
            <w:tcW w:w="3510" w:type="dxa"/>
          </w:tcPr>
          <w:p w14:paraId="7EF10C46" w14:textId="77777777" w:rsidR="00C808D1" w:rsidRPr="003921CE" w:rsidRDefault="00C808D1" w:rsidP="004B6B90">
            <w:pPr>
              <w:rPr>
                <w:sz w:val="20"/>
                <w:szCs w:val="20"/>
              </w:rPr>
            </w:pPr>
            <w:r w:rsidRPr="00CE4CEF">
              <w:rPr>
                <w:sz w:val="20"/>
                <w:szCs w:val="20"/>
              </w:rPr>
              <w:lastRenderedPageBreak/>
              <w:t>Collect</w:t>
            </w:r>
            <w:r>
              <w:rPr>
                <w:sz w:val="20"/>
                <w:szCs w:val="20"/>
              </w:rPr>
              <w:t xml:space="preserve"> </w:t>
            </w:r>
            <w:r w:rsidRPr="00CE4CEF">
              <w:rPr>
                <w:sz w:val="20"/>
                <w:szCs w:val="20"/>
              </w:rPr>
              <w:t xml:space="preserve">data on the accession agreements of different Member States, particularly focusing on </w:t>
            </w:r>
            <w:r w:rsidRPr="00CE4CEF">
              <w:rPr>
                <w:sz w:val="20"/>
                <w:szCs w:val="20"/>
              </w:rPr>
              <w:lastRenderedPageBreak/>
              <w:t>specific terms such as freedom of movement</w:t>
            </w:r>
            <w:r>
              <w:rPr>
                <w:sz w:val="20"/>
                <w:szCs w:val="20"/>
              </w:rPr>
              <w:t>?</w:t>
            </w:r>
          </w:p>
        </w:tc>
        <w:tc>
          <w:tcPr>
            <w:tcW w:w="1440" w:type="dxa"/>
          </w:tcPr>
          <w:p w14:paraId="0070D8BD" w14:textId="77777777" w:rsidR="00C808D1" w:rsidRPr="003921CE" w:rsidRDefault="00C808D1" w:rsidP="004B6B90">
            <w:pPr>
              <w:rPr>
                <w:sz w:val="20"/>
                <w:szCs w:val="20"/>
              </w:rPr>
            </w:pPr>
          </w:p>
        </w:tc>
        <w:tc>
          <w:tcPr>
            <w:tcW w:w="741" w:type="dxa"/>
          </w:tcPr>
          <w:p w14:paraId="04376F27" w14:textId="77777777" w:rsidR="00C808D1" w:rsidRPr="003921CE" w:rsidRDefault="00C808D1" w:rsidP="004B6B90">
            <w:pPr>
              <w:rPr>
                <w:sz w:val="20"/>
                <w:szCs w:val="20"/>
              </w:rPr>
            </w:pPr>
          </w:p>
        </w:tc>
      </w:tr>
      <w:tr w:rsidR="00C808D1" w:rsidRPr="003921CE" w14:paraId="41D5F97A" w14:textId="77777777" w:rsidTr="004B6B90">
        <w:tc>
          <w:tcPr>
            <w:tcW w:w="3325" w:type="dxa"/>
          </w:tcPr>
          <w:p w14:paraId="41A0BEB8" w14:textId="77777777" w:rsidR="00C808D1" w:rsidRPr="00C81C9F" w:rsidRDefault="00C808D1" w:rsidP="004B6B90">
            <w:pPr>
              <w:rPr>
                <w:sz w:val="20"/>
                <w:szCs w:val="20"/>
              </w:rPr>
            </w:pPr>
            <w:r w:rsidRPr="00C81C9F">
              <w:rPr>
                <w:sz w:val="20"/>
                <w:szCs w:val="20"/>
              </w:rPr>
              <w:t>Public support and engagement for EU enlargement are crucial but fluctuates largely between Member States. To address this, it is essential for the proposals to involve citizens early in the enlargement discussions, ensuring transparency and addressing economic and social concerns.</w:t>
            </w:r>
            <w:r>
              <w:rPr>
                <w:sz w:val="20"/>
                <w:szCs w:val="20"/>
              </w:rPr>
              <w:t xml:space="preserve"> </w:t>
            </w:r>
            <w:r w:rsidRPr="00C81C9F">
              <w:rPr>
                <w:sz w:val="20"/>
                <w:szCs w:val="20"/>
              </w:rPr>
              <w:t>This can be achieved through public consultations and enhanced discourse to improve the credibility and acceptance of the enlargement process.</w:t>
            </w:r>
          </w:p>
        </w:tc>
        <w:tc>
          <w:tcPr>
            <w:tcW w:w="3510" w:type="dxa"/>
          </w:tcPr>
          <w:p w14:paraId="4EC16FE9" w14:textId="77777777" w:rsidR="00C808D1" w:rsidRDefault="00C808D1" w:rsidP="004B6B90">
            <w:pPr>
              <w:rPr>
                <w:sz w:val="20"/>
                <w:szCs w:val="20"/>
              </w:rPr>
            </w:pPr>
            <w:r>
              <w:rPr>
                <w:sz w:val="20"/>
                <w:szCs w:val="20"/>
              </w:rPr>
              <w:t>Conduct</w:t>
            </w:r>
            <w:r w:rsidRPr="000F2F31">
              <w:rPr>
                <w:sz w:val="20"/>
                <w:szCs w:val="20"/>
              </w:rPr>
              <w:t xml:space="preserve"> surveys and focus groups </w:t>
            </w:r>
            <w:proofErr w:type="gramStart"/>
            <w:r w:rsidRPr="000F2F31">
              <w:rPr>
                <w:sz w:val="20"/>
                <w:szCs w:val="20"/>
              </w:rPr>
              <w:t>in</w:t>
            </w:r>
            <w:proofErr w:type="gramEnd"/>
            <w:r w:rsidRPr="000F2F31">
              <w:rPr>
                <w:sz w:val="20"/>
                <w:szCs w:val="20"/>
              </w:rPr>
              <w:t xml:space="preserve"> various Member States to understand the level of public support for enlargement. Data can then be used to develop tailored communication strategies aimed at addressing the specific concerns of different populations, fostering greater public engagement and support.</w:t>
            </w:r>
          </w:p>
          <w:p w14:paraId="6DEF1A07" w14:textId="77777777" w:rsidR="00C808D1" w:rsidRDefault="00C808D1" w:rsidP="004B6B90">
            <w:pPr>
              <w:rPr>
                <w:sz w:val="20"/>
                <w:szCs w:val="20"/>
              </w:rPr>
            </w:pPr>
          </w:p>
          <w:p w14:paraId="08C67D53" w14:textId="77777777" w:rsidR="00C808D1" w:rsidRPr="003921CE" w:rsidRDefault="00C808D1" w:rsidP="004B6B90">
            <w:pPr>
              <w:rPr>
                <w:sz w:val="20"/>
                <w:szCs w:val="20"/>
              </w:rPr>
            </w:pPr>
            <w:r>
              <w:rPr>
                <w:sz w:val="20"/>
                <w:szCs w:val="20"/>
              </w:rPr>
              <w:t>O</w:t>
            </w:r>
            <w:r w:rsidRPr="000F2F31">
              <w:rPr>
                <w:sz w:val="20"/>
                <w:szCs w:val="20"/>
              </w:rPr>
              <w:t>rganiz</w:t>
            </w:r>
            <w:r>
              <w:rPr>
                <w:sz w:val="20"/>
                <w:szCs w:val="20"/>
              </w:rPr>
              <w:t>e</w:t>
            </w:r>
            <w:r w:rsidRPr="000F2F31">
              <w:rPr>
                <w:sz w:val="20"/>
                <w:szCs w:val="20"/>
              </w:rPr>
              <w:t xml:space="preserve"> public consultations, town halls, and forums where citizens can directly engage with policymakers. These events would focus on transparent discussions of economic and social concerns related to enlargement, ensuring that citizens' voices are heard early in the process.</w:t>
            </w:r>
          </w:p>
        </w:tc>
        <w:tc>
          <w:tcPr>
            <w:tcW w:w="1440" w:type="dxa"/>
          </w:tcPr>
          <w:p w14:paraId="41C29984" w14:textId="77777777" w:rsidR="00C808D1" w:rsidRPr="003921CE" w:rsidRDefault="00C808D1" w:rsidP="004B6B90">
            <w:pPr>
              <w:rPr>
                <w:sz w:val="20"/>
                <w:szCs w:val="20"/>
              </w:rPr>
            </w:pPr>
          </w:p>
        </w:tc>
        <w:tc>
          <w:tcPr>
            <w:tcW w:w="741" w:type="dxa"/>
          </w:tcPr>
          <w:p w14:paraId="618837EA" w14:textId="77777777" w:rsidR="00C808D1" w:rsidRPr="003921CE" w:rsidRDefault="00C808D1" w:rsidP="004B6B90">
            <w:pPr>
              <w:rPr>
                <w:sz w:val="20"/>
                <w:szCs w:val="20"/>
              </w:rPr>
            </w:pPr>
          </w:p>
        </w:tc>
      </w:tr>
      <w:tr w:rsidR="00C808D1" w:rsidRPr="003921CE" w14:paraId="50539463" w14:textId="77777777" w:rsidTr="004B6B90">
        <w:tc>
          <w:tcPr>
            <w:tcW w:w="3325" w:type="dxa"/>
          </w:tcPr>
          <w:p w14:paraId="48D0A59F" w14:textId="77777777" w:rsidR="00C808D1" w:rsidRPr="00C81C9F" w:rsidRDefault="00C808D1" w:rsidP="004B6B90">
            <w:pPr>
              <w:rPr>
                <w:sz w:val="20"/>
                <w:szCs w:val="20"/>
              </w:rPr>
            </w:pPr>
            <w:r w:rsidRPr="00C81C9F">
              <w:rPr>
                <w:sz w:val="20"/>
                <w:szCs w:val="20"/>
              </w:rPr>
              <w:t>The proposals should also address the EU’s readiness to enlarge, considering the “enlargement fatigue” and the rise of euroscepticism within the Union and in the candidate countries.</w:t>
            </w:r>
          </w:p>
        </w:tc>
        <w:tc>
          <w:tcPr>
            <w:tcW w:w="3510" w:type="dxa"/>
          </w:tcPr>
          <w:p w14:paraId="076E989C" w14:textId="77777777" w:rsidR="00C808D1" w:rsidRPr="003921CE" w:rsidRDefault="00C808D1" w:rsidP="004B6B90">
            <w:pPr>
              <w:rPr>
                <w:sz w:val="20"/>
                <w:szCs w:val="20"/>
              </w:rPr>
            </w:pPr>
            <w:r>
              <w:rPr>
                <w:sz w:val="20"/>
                <w:szCs w:val="20"/>
              </w:rPr>
              <w:t xml:space="preserve">Organize </w:t>
            </w:r>
            <w:r w:rsidRPr="000F2F31">
              <w:rPr>
                <w:sz w:val="20"/>
                <w:szCs w:val="20"/>
              </w:rPr>
              <w:t>comprehensive research on current public sentiment and political attitudes towards enlargement, both within the EU and in candidate countries. Surveys, interviews, and media analysis can be conducted to assess levels of euroscepticism and enlargement fatigue, followed by strategies to address these challenges through education, communication, and policy adjustments.</w:t>
            </w:r>
          </w:p>
        </w:tc>
        <w:tc>
          <w:tcPr>
            <w:tcW w:w="1440" w:type="dxa"/>
          </w:tcPr>
          <w:p w14:paraId="38E155F7" w14:textId="77777777" w:rsidR="00C808D1" w:rsidRPr="003921CE" w:rsidRDefault="00C808D1" w:rsidP="004B6B90">
            <w:pPr>
              <w:rPr>
                <w:sz w:val="20"/>
                <w:szCs w:val="20"/>
              </w:rPr>
            </w:pPr>
          </w:p>
        </w:tc>
        <w:tc>
          <w:tcPr>
            <w:tcW w:w="741" w:type="dxa"/>
          </w:tcPr>
          <w:p w14:paraId="37ABAE89" w14:textId="77777777" w:rsidR="00C808D1" w:rsidRPr="003921CE" w:rsidRDefault="00C808D1" w:rsidP="004B6B90">
            <w:pPr>
              <w:rPr>
                <w:sz w:val="20"/>
                <w:szCs w:val="20"/>
              </w:rPr>
            </w:pPr>
          </w:p>
        </w:tc>
      </w:tr>
      <w:tr w:rsidR="00C808D1" w:rsidRPr="003921CE" w14:paraId="1CF0A374" w14:textId="77777777" w:rsidTr="004B6B90">
        <w:tc>
          <w:tcPr>
            <w:tcW w:w="3325" w:type="dxa"/>
          </w:tcPr>
          <w:p w14:paraId="317072E8" w14:textId="77777777" w:rsidR="00C808D1" w:rsidRPr="00C81C9F" w:rsidRDefault="00C808D1" w:rsidP="004B6B90">
            <w:pPr>
              <w:rPr>
                <w:sz w:val="20"/>
                <w:szCs w:val="20"/>
              </w:rPr>
            </w:pPr>
            <w:r w:rsidRPr="00C81C9F">
              <w:rPr>
                <w:sz w:val="20"/>
                <w:szCs w:val="20"/>
              </w:rPr>
              <w:t>Building concrete knowledge through comparative analysis on the motives of candidate countries to join the EU would be beneficial to observe any similarities and whether these motivations are still present, strengthened or declining in the Member States.</w:t>
            </w:r>
          </w:p>
        </w:tc>
        <w:tc>
          <w:tcPr>
            <w:tcW w:w="3510" w:type="dxa"/>
          </w:tcPr>
          <w:p w14:paraId="41F4F90F" w14:textId="77777777" w:rsidR="00C808D1" w:rsidRPr="003921CE" w:rsidRDefault="00C808D1" w:rsidP="004B6B90">
            <w:pPr>
              <w:rPr>
                <w:sz w:val="20"/>
                <w:szCs w:val="20"/>
              </w:rPr>
            </w:pPr>
            <w:r w:rsidRPr="000F2F31">
              <w:rPr>
                <w:sz w:val="20"/>
                <w:szCs w:val="20"/>
              </w:rPr>
              <w:t>a comparative study of the motivations of candidate countries to join the EU, using historical data, interviews with policymakers, and public opinion research. This analysis would track how motivations have evolved and compare them with current sentiments in existing Member States, providing insights into any shifts in priorities.</w:t>
            </w:r>
          </w:p>
        </w:tc>
        <w:tc>
          <w:tcPr>
            <w:tcW w:w="1440" w:type="dxa"/>
          </w:tcPr>
          <w:p w14:paraId="6E0398ED" w14:textId="77777777" w:rsidR="00C808D1" w:rsidRPr="003921CE" w:rsidRDefault="00C808D1" w:rsidP="004B6B90">
            <w:pPr>
              <w:rPr>
                <w:sz w:val="20"/>
                <w:szCs w:val="20"/>
              </w:rPr>
            </w:pPr>
          </w:p>
        </w:tc>
        <w:tc>
          <w:tcPr>
            <w:tcW w:w="741" w:type="dxa"/>
          </w:tcPr>
          <w:p w14:paraId="1B0EAC31" w14:textId="77777777" w:rsidR="00C808D1" w:rsidRPr="003921CE" w:rsidRDefault="00C808D1" w:rsidP="004B6B90">
            <w:pPr>
              <w:rPr>
                <w:sz w:val="20"/>
                <w:szCs w:val="20"/>
              </w:rPr>
            </w:pPr>
          </w:p>
        </w:tc>
      </w:tr>
      <w:tr w:rsidR="00C808D1" w:rsidRPr="003921CE" w14:paraId="23397415" w14:textId="77777777" w:rsidTr="004B6B90">
        <w:tc>
          <w:tcPr>
            <w:tcW w:w="3325" w:type="dxa"/>
          </w:tcPr>
          <w:p w14:paraId="56BB4FD6" w14:textId="77777777" w:rsidR="00C808D1" w:rsidRPr="00C81C9F" w:rsidRDefault="00C808D1" w:rsidP="004B6B90">
            <w:pPr>
              <w:rPr>
                <w:sz w:val="20"/>
                <w:szCs w:val="20"/>
              </w:rPr>
            </w:pPr>
            <w:r w:rsidRPr="00C81C9F">
              <w:rPr>
                <w:sz w:val="20"/>
                <w:szCs w:val="20"/>
              </w:rPr>
              <w:t xml:space="preserve">Efforts should also be directed towards effective and inclusive communication on the EU integration process and the benefits of enlargement, </w:t>
            </w:r>
            <w:proofErr w:type="gramStart"/>
            <w:r w:rsidRPr="00C81C9F">
              <w:rPr>
                <w:sz w:val="20"/>
                <w:szCs w:val="20"/>
              </w:rPr>
              <w:t>as a way to</w:t>
            </w:r>
            <w:proofErr w:type="gramEnd"/>
            <w:r w:rsidRPr="00C81C9F">
              <w:rPr>
                <w:sz w:val="20"/>
                <w:szCs w:val="20"/>
              </w:rPr>
              <w:t xml:space="preserve"> on this process from foreign and domestic actors.</w:t>
            </w:r>
          </w:p>
        </w:tc>
        <w:tc>
          <w:tcPr>
            <w:tcW w:w="3510" w:type="dxa"/>
          </w:tcPr>
          <w:p w14:paraId="6AF2B582" w14:textId="77777777" w:rsidR="00C808D1" w:rsidRDefault="00C808D1" w:rsidP="004B6B90">
            <w:pPr>
              <w:rPr>
                <w:sz w:val="20"/>
                <w:szCs w:val="20"/>
              </w:rPr>
            </w:pPr>
            <w:r>
              <w:rPr>
                <w:sz w:val="20"/>
                <w:szCs w:val="20"/>
              </w:rPr>
              <w:t xml:space="preserve">Forge </w:t>
            </w:r>
            <w:r w:rsidRPr="000F2F31">
              <w:rPr>
                <w:sz w:val="20"/>
                <w:szCs w:val="20"/>
              </w:rPr>
              <w:t xml:space="preserve">partnerships with media outlets, social media campaigns, and educational programs. </w:t>
            </w:r>
          </w:p>
          <w:p w14:paraId="7C2A2439" w14:textId="77777777" w:rsidR="00C808D1" w:rsidRDefault="00C808D1" w:rsidP="004B6B90">
            <w:pPr>
              <w:rPr>
                <w:sz w:val="20"/>
                <w:szCs w:val="20"/>
              </w:rPr>
            </w:pPr>
          </w:p>
          <w:p w14:paraId="77BCA367" w14:textId="77777777" w:rsidR="00C808D1" w:rsidRPr="003921CE" w:rsidRDefault="00C808D1" w:rsidP="004B6B90">
            <w:pPr>
              <w:rPr>
                <w:sz w:val="20"/>
                <w:szCs w:val="20"/>
              </w:rPr>
            </w:pPr>
            <w:r w:rsidRPr="000F2F31">
              <w:rPr>
                <w:sz w:val="20"/>
                <w:szCs w:val="20"/>
              </w:rPr>
              <w:t>The focus would be on explaining the benefits of EU integration in clear, accessible language, while countering misinformation and undue influence from external actors by promoting verified information.</w:t>
            </w:r>
          </w:p>
        </w:tc>
        <w:tc>
          <w:tcPr>
            <w:tcW w:w="1440" w:type="dxa"/>
          </w:tcPr>
          <w:p w14:paraId="1AD59AA2" w14:textId="77777777" w:rsidR="00C808D1" w:rsidRPr="003921CE" w:rsidRDefault="00C808D1" w:rsidP="004B6B90">
            <w:pPr>
              <w:rPr>
                <w:sz w:val="20"/>
                <w:szCs w:val="20"/>
              </w:rPr>
            </w:pPr>
          </w:p>
        </w:tc>
        <w:tc>
          <w:tcPr>
            <w:tcW w:w="741" w:type="dxa"/>
          </w:tcPr>
          <w:p w14:paraId="0F9A0834" w14:textId="77777777" w:rsidR="00C808D1" w:rsidRPr="003921CE" w:rsidRDefault="00C808D1" w:rsidP="004B6B90">
            <w:pPr>
              <w:rPr>
                <w:sz w:val="20"/>
                <w:szCs w:val="20"/>
              </w:rPr>
            </w:pPr>
          </w:p>
        </w:tc>
      </w:tr>
      <w:tr w:rsidR="00C808D1" w:rsidRPr="003921CE" w14:paraId="53AA95E8" w14:textId="77777777" w:rsidTr="004B6B90">
        <w:tc>
          <w:tcPr>
            <w:tcW w:w="3325" w:type="dxa"/>
          </w:tcPr>
          <w:p w14:paraId="6E26FE27" w14:textId="77777777" w:rsidR="00C808D1" w:rsidRPr="00C81C9F" w:rsidRDefault="00C808D1" w:rsidP="004B6B90">
            <w:pPr>
              <w:rPr>
                <w:sz w:val="20"/>
                <w:szCs w:val="20"/>
              </w:rPr>
            </w:pPr>
            <w:r w:rsidRPr="00C81C9F">
              <w:rPr>
                <w:sz w:val="20"/>
                <w:szCs w:val="20"/>
              </w:rPr>
              <w:t xml:space="preserve">the proposals should collect evidence on the role of societal dialogues and education in proposing learning approaches to EU integration and enlargement </w:t>
            </w:r>
            <w:r w:rsidRPr="00C81C9F">
              <w:rPr>
                <w:sz w:val="20"/>
                <w:szCs w:val="20"/>
              </w:rPr>
              <w:lastRenderedPageBreak/>
              <w:t>prospect within the Union that combine mutual, social and intercultural learning to support the development of local and regional initiatives by the civil society.</w:t>
            </w:r>
          </w:p>
        </w:tc>
        <w:tc>
          <w:tcPr>
            <w:tcW w:w="3510" w:type="dxa"/>
          </w:tcPr>
          <w:p w14:paraId="68F104AB" w14:textId="77777777" w:rsidR="00C808D1" w:rsidRPr="003921CE" w:rsidRDefault="00C808D1" w:rsidP="004B6B90">
            <w:pPr>
              <w:rPr>
                <w:sz w:val="20"/>
                <w:szCs w:val="20"/>
              </w:rPr>
            </w:pPr>
          </w:p>
        </w:tc>
        <w:tc>
          <w:tcPr>
            <w:tcW w:w="1440" w:type="dxa"/>
          </w:tcPr>
          <w:p w14:paraId="014D008C" w14:textId="77777777" w:rsidR="00C808D1" w:rsidRPr="003921CE" w:rsidRDefault="00C808D1" w:rsidP="004B6B90">
            <w:pPr>
              <w:rPr>
                <w:sz w:val="20"/>
                <w:szCs w:val="20"/>
              </w:rPr>
            </w:pPr>
          </w:p>
        </w:tc>
        <w:tc>
          <w:tcPr>
            <w:tcW w:w="741" w:type="dxa"/>
          </w:tcPr>
          <w:p w14:paraId="021AA7F8" w14:textId="77777777" w:rsidR="00C808D1" w:rsidRPr="003921CE" w:rsidRDefault="00C808D1" w:rsidP="004B6B90">
            <w:pPr>
              <w:rPr>
                <w:sz w:val="20"/>
                <w:szCs w:val="20"/>
              </w:rPr>
            </w:pPr>
          </w:p>
        </w:tc>
      </w:tr>
      <w:tr w:rsidR="00C808D1" w:rsidRPr="003921CE" w14:paraId="11713E83" w14:textId="77777777" w:rsidTr="004B6B90">
        <w:tc>
          <w:tcPr>
            <w:tcW w:w="3325" w:type="dxa"/>
          </w:tcPr>
          <w:p w14:paraId="5245CF30" w14:textId="77777777" w:rsidR="00C808D1" w:rsidRPr="00C81C9F" w:rsidRDefault="00C808D1" w:rsidP="004B6B90">
            <w:pPr>
              <w:rPr>
                <w:sz w:val="20"/>
                <w:szCs w:val="20"/>
              </w:rPr>
            </w:pPr>
            <w:r w:rsidRPr="00C81C9F">
              <w:rPr>
                <w:sz w:val="20"/>
                <w:szCs w:val="20"/>
              </w:rPr>
              <w:t xml:space="preserve">These learning approaches could be based on evidence from formal learning in education institutions or informal learning through civil society initiatives. Proposals should consider citizens engagement and dialogue, for seeking wider input. </w:t>
            </w:r>
          </w:p>
        </w:tc>
        <w:tc>
          <w:tcPr>
            <w:tcW w:w="3510" w:type="dxa"/>
          </w:tcPr>
          <w:p w14:paraId="5B2A573A" w14:textId="77777777" w:rsidR="00C808D1" w:rsidRPr="003921CE" w:rsidRDefault="00C808D1" w:rsidP="004B6B90">
            <w:pPr>
              <w:rPr>
                <w:sz w:val="20"/>
                <w:szCs w:val="20"/>
              </w:rPr>
            </w:pPr>
            <w:r>
              <w:rPr>
                <w:sz w:val="20"/>
                <w:szCs w:val="20"/>
              </w:rPr>
              <w:t>D</w:t>
            </w:r>
            <w:r w:rsidRPr="000F2F31">
              <w:rPr>
                <w:sz w:val="20"/>
                <w:szCs w:val="20"/>
              </w:rPr>
              <w:t>esign learning modules or community-based initiatives that integrate both types of learning to enhance understanding of EU integration</w:t>
            </w:r>
            <w:r>
              <w:rPr>
                <w:sz w:val="20"/>
                <w:szCs w:val="20"/>
              </w:rPr>
              <w:t>?</w:t>
            </w:r>
          </w:p>
        </w:tc>
        <w:tc>
          <w:tcPr>
            <w:tcW w:w="1440" w:type="dxa"/>
          </w:tcPr>
          <w:p w14:paraId="02613067" w14:textId="77777777" w:rsidR="00C808D1" w:rsidRPr="003921CE" w:rsidRDefault="00C808D1" w:rsidP="004B6B90">
            <w:pPr>
              <w:rPr>
                <w:sz w:val="20"/>
                <w:szCs w:val="20"/>
              </w:rPr>
            </w:pPr>
          </w:p>
        </w:tc>
        <w:tc>
          <w:tcPr>
            <w:tcW w:w="741" w:type="dxa"/>
          </w:tcPr>
          <w:p w14:paraId="658A9B35" w14:textId="77777777" w:rsidR="00C808D1" w:rsidRPr="003921CE" w:rsidRDefault="00C808D1" w:rsidP="004B6B90">
            <w:pPr>
              <w:rPr>
                <w:sz w:val="20"/>
                <w:szCs w:val="20"/>
              </w:rPr>
            </w:pPr>
          </w:p>
        </w:tc>
      </w:tr>
      <w:tr w:rsidR="00C808D1" w:rsidRPr="003921CE" w14:paraId="2CEC514B" w14:textId="77777777" w:rsidTr="004B6B90">
        <w:tc>
          <w:tcPr>
            <w:tcW w:w="3325" w:type="dxa"/>
          </w:tcPr>
          <w:p w14:paraId="4077F48B" w14:textId="77777777" w:rsidR="00C808D1" w:rsidRPr="00C81C9F" w:rsidRDefault="00C808D1" w:rsidP="004B6B90">
            <w:pPr>
              <w:rPr>
                <w:sz w:val="20"/>
                <w:szCs w:val="20"/>
              </w:rPr>
            </w:pPr>
            <w:r w:rsidRPr="00C81C9F">
              <w:rPr>
                <w:sz w:val="20"/>
                <w:szCs w:val="20"/>
              </w:rPr>
              <w:t>Youth participation should be encouraged in the proposals.</w:t>
            </w:r>
          </w:p>
        </w:tc>
        <w:tc>
          <w:tcPr>
            <w:tcW w:w="3510" w:type="dxa"/>
          </w:tcPr>
          <w:p w14:paraId="54ED40E0" w14:textId="77777777" w:rsidR="00C808D1" w:rsidRDefault="00C808D1" w:rsidP="004B6B90">
            <w:pPr>
              <w:rPr>
                <w:sz w:val="20"/>
                <w:szCs w:val="20"/>
              </w:rPr>
            </w:pPr>
            <w:r>
              <w:rPr>
                <w:sz w:val="20"/>
                <w:szCs w:val="20"/>
              </w:rPr>
              <w:t>A youth academy? Target young leaders specifically?</w:t>
            </w:r>
          </w:p>
          <w:p w14:paraId="2CDEBD0C" w14:textId="77777777" w:rsidR="00C808D1" w:rsidRDefault="00C808D1" w:rsidP="004B6B90">
            <w:pPr>
              <w:rPr>
                <w:sz w:val="20"/>
                <w:szCs w:val="20"/>
              </w:rPr>
            </w:pPr>
          </w:p>
          <w:p w14:paraId="78074FDF" w14:textId="77777777" w:rsidR="00C808D1" w:rsidRPr="003921CE" w:rsidRDefault="00C808D1" w:rsidP="004B6B90">
            <w:pPr>
              <w:rPr>
                <w:sz w:val="20"/>
                <w:szCs w:val="20"/>
              </w:rPr>
            </w:pPr>
            <w:r>
              <w:rPr>
                <w:sz w:val="20"/>
                <w:szCs w:val="20"/>
              </w:rPr>
              <w:t xml:space="preserve">Organize a debate series? A website that brings </w:t>
            </w:r>
            <w:proofErr w:type="gramStart"/>
            <w:r>
              <w:rPr>
                <w:sz w:val="20"/>
                <w:szCs w:val="20"/>
              </w:rPr>
              <w:t>together  a</w:t>
            </w:r>
            <w:proofErr w:type="gramEnd"/>
            <w:r>
              <w:rPr>
                <w:sz w:val="20"/>
                <w:szCs w:val="20"/>
              </w:rPr>
              <w:t xml:space="preserve"> pro- and against view?</w:t>
            </w:r>
          </w:p>
        </w:tc>
        <w:tc>
          <w:tcPr>
            <w:tcW w:w="1440" w:type="dxa"/>
          </w:tcPr>
          <w:p w14:paraId="4B900809" w14:textId="77777777" w:rsidR="00C808D1" w:rsidRPr="003921CE" w:rsidRDefault="00C808D1" w:rsidP="004B6B90">
            <w:pPr>
              <w:rPr>
                <w:sz w:val="20"/>
                <w:szCs w:val="20"/>
              </w:rPr>
            </w:pPr>
          </w:p>
        </w:tc>
        <w:tc>
          <w:tcPr>
            <w:tcW w:w="741" w:type="dxa"/>
          </w:tcPr>
          <w:p w14:paraId="6F911C01" w14:textId="77777777" w:rsidR="00C808D1" w:rsidRPr="003921CE" w:rsidRDefault="00C808D1" w:rsidP="004B6B90">
            <w:pPr>
              <w:rPr>
                <w:sz w:val="20"/>
                <w:szCs w:val="20"/>
              </w:rPr>
            </w:pPr>
          </w:p>
        </w:tc>
      </w:tr>
      <w:tr w:rsidR="00C808D1" w:rsidRPr="003921CE" w14:paraId="65A5A784" w14:textId="77777777" w:rsidTr="004B6B90">
        <w:tc>
          <w:tcPr>
            <w:tcW w:w="3325" w:type="dxa"/>
          </w:tcPr>
          <w:p w14:paraId="00F778B3" w14:textId="77777777" w:rsidR="00C808D1" w:rsidRPr="00C81C9F" w:rsidRDefault="00C808D1" w:rsidP="004B6B90">
            <w:pPr>
              <w:rPr>
                <w:sz w:val="20"/>
                <w:szCs w:val="20"/>
              </w:rPr>
            </w:pPr>
            <w:r w:rsidRPr="00C81C9F">
              <w:rPr>
                <w:sz w:val="20"/>
                <w:szCs w:val="20"/>
              </w:rPr>
              <w:t>identify the most effective tools for public administration and policymakers to improve citizen’s understanding of the enlargement process, seizing educational opportunities and societal awareness. Utilizing emerging digital technologies such as artificial intelligence and social media could be beneficial in meeting the evolving challenges of digital communication.</w:t>
            </w:r>
          </w:p>
        </w:tc>
        <w:tc>
          <w:tcPr>
            <w:tcW w:w="3510" w:type="dxa"/>
          </w:tcPr>
          <w:p w14:paraId="30DE2553" w14:textId="77777777" w:rsidR="00C808D1" w:rsidRDefault="00C808D1" w:rsidP="004B6B90">
            <w:pPr>
              <w:rPr>
                <w:sz w:val="20"/>
                <w:szCs w:val="20"/>
              </w:rPr>
            </w:pPr>
            <w:r>
              <w:rPr>
                <w:sz w:val="20"/>
                <w:szCs w:val="20"/>
              </w:rPr>
              <w:t xml:space="preserve">Facilitate </w:t>
            </w:r>
            <w:r w:rsidRPr="000F2F31">
              <w:rPr>
                <w:sz w:val="20"/>
                <w:szCs w:val="20"/>
              </w:rPr>
              <w:t>Citizen engagement</w:t>
            </w:r>
            <w:r>
              <w:rPr>
                <w:sz w:val="20"/>
                <w:szCs w:val="20"/>
              </w:rPr>
              <w:t xml:space="preserve"> </w:t>
            </w:r>
            <w:r w:rsidRPr="000F2F31">
              <w:rPr>
                <w:sz w:val="20"/>
                <w:szCs w:val="20"/>
              </w:rPr>
              <w:t xml:space="preserve">through public consultations, online platforms, and participatory workshops. </w:t>
            </w:r>
          </w:p>
          <w:p w14:paraId="554AA0C4" w14:textId="77777777" w:rsidR="00C808D1" w:rsidRDefault="00C808D1" w:rsidP="004B6B90">
            <w:pPr>
              <w:rPr>
                <w:sz w:val="20"/>
                <w:szCs w:val="20"/>
              </w:rPr>
            </w:pPr>
          </w:p>
          <w:p w14:paraId="2B066CB6" w14:textId="77777777" w:rsidR="00C808D1" w:rsidRDefault="00C808D1" w:rsidP="004B6B90">
            <w:pPr>
              <w:rPr>
                <w:sz w:val="20"/>
                <w:szCs w:val="20"/>
              </w:rPr>
            </w:pPr>
            <w:r>
              <w:rPr>
                <w:sz w:val="20"/>
                <w:szCs w:val="20"/>
              </w:rPr>
              <w:t xml:space="preserve">Design platforms that allow </w:t>
            </w:r>
            <w:r w:rsidRPr="000F2F31">
              <w:rPr>
                <w:sz w:val="20"/>
                <w:szCs w:val="20"/>
              </w:rPr>
              <w:t>for broader input from diverse demographics, ensuring that a wide range of perspectives are included in discussions on enlargement.</w:t>
            </w:r>
          </w:p>
          <w:p w14:paraId="30855AAF" w14:textId="77777777" w:rsidR="00C808D1" w:rsidRDefault="00C808D1" w:rsidP="004B6B90">
            <w:pPr>
              <w:rPr>
                <w:sz w:val="20"/>
                <w:szCs w:val="20"/>
              </w:rPr>
            </w:pPr>
          </w:p>
          <w:p w14:paraId="06F4B9E1" w14:textId="77777777" w:rsidR="00C808D1" w:rsidRPr="003921CE" w:rsidRDefault="00C808D1" w:rsidP="004B6B90">
            <w:pPr>
              <w:rPr>
                <w:sz w:val="20"/>
                <w:szCs w:val="20"/>
              </w:rPr>
            </w:pPr>
            <w:r w:rsidRPr="00CE4CEF">
              <w:rPr>
                <w:sz w:val="20"/>
                <w:szCs w:val="20"/>
              </w:rPr>
              <w:t>AI-driven tools for sentiment analysis, content creation, and data-driven communication strategies</w:t>
            </w:r>
            <w:r>
              <w:rPr>
                <w:sz w:val="20"/>
                <w:szCs w:val="20"/>
              </w:rPr>
              <w:t>?</w:t>
            </w:r>
          </w:p>
        </w:tc>
        <w:tc>
          <w:tcPr>
            <w:tcW w:w="1440" w:type="dxa"/>
          </w:tcPr>
          <w:p w14:paraId="758B9918" w14:textId="77777777" w:rsidR="00C808D1" w:rsidRPr="003921CE" w:rsidRDefault="00C808D1" w:rsidP="004B6B90">
            <w:pPr>
              <w:rPr>
                <w:sz w:val="20"/>
                <w:szCs w:val="20"/>
              </w:rPr>
            </w:pPr>
          </w:p>
        </w:tc>
        <w:tc>
          <w:tcPr>
            <w:tcW w:w="741" w:type="dxa"/>
          </w:tcPr>
          <w:p w14:paraId="077D1BF1" w14:textId="77777777" w:rsidR="00C808D1" w:rsidRPr="003921CE" w:rsidRDefault="00C808D1" w:rsidP="004B6B90">
            <w:pPr>
              <w:rPr>
                <w:sz w:val="20"/>
                <w:szCs w:val="20"/>
              </w:rPr>
            </w:pPr>
          </w:p>
        </w:tc>
      </w:tr>
    </w:tbl>
    <w:p w14:paraId="1F187149" w14:textId="77777777" w:rsidR="00C808D1" w:rsidRDefault="00C808D1" w:rsidP="00C808D1"/>
    <w:p w14:paraId="07BEBA71" w14:textId="77777777" w:rsidR="00C808D1" w:rsidRPr="003921CE" w:rsidRDefault="00C808D1" w:rsidP="00C808D1"/>
    <w:p w14:paraId="478B3080" w14:textId="77777777" w:rsidR="004F7871" w:rsidRDefault="004F7871"/>
    <w:sectPr w:rsidR="004F7871" w:rsidSect="00C808D1">
      <w:footerReference w:type="even" r:id="rId4"/>
      <w:foot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89584872"/>
      <w:docPartObj>
        <w:docPartGallery w:val="Page Numbers (Bottom of Page)"/>
        <w:docPartUnique/>
      </w:docPartObj>
    </w:sdtPr>
    <w:sdtContent>
      <w:p w14:paraId="3B032804" w14:textId="77777777" w:rsidR="00000000" w:rsidRDefault="00000000" w:rsidP="003D7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22E651" w14:textId="77777777" w:rsidR="00000000" w:rsidRDefault="00000000" w:rsidP="001208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313364"/>
      <w:docPartObj>
        <w:docPartGallery w:val="Page Numbers (Bottom of Page)"/>
        <w:docPartUnique/>
      </w:docPartObj>
    </w:sdtPr>
    <w:sdtContent>
      <w:p w14:paraId="76C36860" w14:textId="77777777" w:rsidR="00000000" w:rsidRDefault="00000000" w:rsidP="003D78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81A4B" w14:textId="77777777" w:rsidR="00000000" w:rsidRDefault="00000000" w:rsidP="00120842">
    <w:pPr>
      <w:pStyle w:val="Footer"/>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D1"/>
    <w:rsid w:val="004F7871"/>
    <w:rsid w:val="006C7EB7"/>
    <w:rsid w:val="00797B77"/>
    <w:rsid w:val="00A10FBC"/>
    <w:rsid w:val="00C8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9B73"/>
  <w15:chartTrackingRefBased/>
  <w15:docId w15:val="{BCAE1076-FED8-419A-8DDB-3649C9D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8D1"/>
    <w:pPr>
      <w:jc w:val="left"/>
    </w:pPr>
    <w:rPr>
      <w:sz w:val="24"/>
      <w:szCs w:val="24"/>
      <w:lang w:val="en-GB"/>
    </w:rPr>
  </w:style>
  <w:style w:type="paragraph" w:styleId="Heading1">
    <w:name w:val="heading 1"/>
    <w:basedOn w:val="Normal"/>
    <w:next w:val="Normal"/>
    <w:link w:val="Heading1Char"/>
    <w:uiPriority w:val="9"/>
    <w:qFormat/>
    <w:rsid w:val="00C808D1"/>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C808D1"/>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C808D1"/>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C808D1"/>
    <w:pPr>
      <w:keepNext/>
      <w:keepLines/>
      <w:spacing w:before="80" w:after="40"/>
      <w:outlineLvl w:val="3"/>
    </w:pPr>
    <w:rPr>
      <w:rFonts w:eastAsiaTheme="majorEastAsia" w:cstheme="majorBidi"/>
      <w:i/>
      <w:iCs/>
      <w:color w:val="0F4761" w:themeColor="accent1" w:themeShade="BF"/>
      <w:sz w:val="22"/>
      <w:szCs w:val="22"/>
      <w:lang w:val="en-US"/>
    </w:rPr>
  </w:style>
  <w:style w:type="paragraph" w:styleId="Heading5">
    <w:name w:val="heading 5"/>
    <w:basedOn w:val="Normal"/>
    <w:next w:val="Normal"/>
    <w:link w:val="Heading5Char"/>
    <w:uiPriority w:val="9"/>
    <w:semiHidden/>
    <w:unhideWhenUsed/>
    <w:qFormat/>
    <w:rsid w:val="00C808D1"/>
    <w:pPr>
      <w:keepNext/>
      <w:keepLines/>
      <w:spacing w:before="80" w:after="40"/>
      <w:outlineLvl w:val="4"/>
    </w:pPr>
    <w:rPr>
      <w:rFonts w:eastAsiaTheme="majorEastAsia" w:cstheme="majorBidi"/>
      <w:color w:val="0F4761" w:themeColor="accent1" w:themeShade="BF"/>
      <w:sz w:val="22"/>
      <w:szCs w:val="22"/>
      <w:lang w:val="en-US"/>
    </w:rPr>
  </w:style>
  <w:style w:type="paragraph" w:styleId="Heading6">
    <w:name w:val="heading 6"/>
    <w:basedOn w:val="Normal"/>
    <w:next w:val="Normal"/>
    <w:link w:val="Heading6Char"/>
    <w:uiPriority w:val="9"/>
    <w:semiHidden/>
    <w:unhideWhenUsed/>
    <w:qFormat/>
    <w:rsid w:val="00C808D1"/>
    <w:pPr>
      <w:keepNext/>
      <w:keepLines/>
      <w:spacing w:before="40"/>
      <w:outlineLvl w:val="5"/>
    </w:pPr>
    <w:rPr>
      <w:rFonts w:eastAsiaTheme="majorEastAsia"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00C808D1"/>
    <w:pPr>
      <w:keepNext/>
      <w:keepLines/>
      <w:spacing w:before="40"/>
      <w:outlineLvl w:val="6"/>
    </w:pPr>
    <w:rPr>
      <w:rFonts w:eastAsiaTheme="majorEastAsia"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00C808D1"/>
    <w:pPr>
      <w:keepNext/>
      <w:keepLines/>
      <w:outlineLvl w:val="7"/>
    </w:pPr>
    <w:rPr>
      <w:rFonts w:eastAsiaTheme="majorEastAsia" w:cstheme="majorBidi"/>
      <w:i/>
      <w:iCs/>
      <w:color w:val="272727" w:themeColor="text1" w:themeTint="D8"/>
      <w:sz w:val="22"/>
      <w:szCs w:val="22"/>
      <w:lang w:val="en-US"/>
    </w:rPr>
  </w:style>
  <w:style w:type="paragraph" w:styleId="Heading9">
    <w:name w:val="heading 9"/>
    <w:basedOn w:val="Normal"/>
    <w:next w:val="Normal"/>
    <w:link w:val="Heading9Char"/>
    <w:uiPriority w:val="9"/>
    <w:semiHidden/>
    <w:unhideWhenUsed/>
    <w:qFormat/>
    <w:rsid w:val="00C808D1"/>
    <w:pPr>
      <w:keepNext/>
      <w:keepLines/>
      <w:outlineLvl w:val="8"/>
    </w:pPr>
    <w:rPr>
      <w:rFonts w:eastAsiaTheme="majorEastAsia" w:cstheme="majorBidi"/>
      <w:color w:val="272727" w:themeColor="text1" w:themeTint="D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8D1"/>
    <w:rPr>
      <w:rFonts w:eastAsiaTheme="majorEastAsia" w:cstheme="majorBidi"/>
      <w:color w:val="272727" w:themeColor="text1" w:themeTint="D8"/>
    </w:rPr>
  </w:style>
  <w:style w:type="paragraph" w:styleId="Title">
    <w:name w:val="Title"/>
    <w:basedOn w:val="Normal"/>
    <w:next w:val="Normal"/>
    <w:link w:val="TitleChar"/>
    <w:uiPriority w:val="10"/>
    <w:qFormat/>
    <w:rsid w:val="00C808D1"/>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8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8D1"/>
    <w:pPr>
      <w:numPr>
        <w:ilvl w:val="1"/>
      </w:numPr>
      <w:spacing w:after="16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8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8D1"/>
    <w:pPr>
      <w:spacing w:before="160" w:after="160"/>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C808D1"/>
    <w:rPr>
      <w:i/>
      <w:iCs/>
      <w:color w:val="404040" w:themeColor="text1" w:themeTint="BF"/>
    </w:rPr>
  </w:style>
  <w:style w:type="paragraph" w:styleId="ListParagraph">
    <w:name w:val="List Paragraph"/>
    <w:basedOn w:val="Normal"/>
    <w:uiPriority w:val="34"/>
    <w:qFormat/>
    <w:rsid w:val="00C808D1"/>
    <w:pPr>
      <w:ind w:left="720"/>
      <w:contextualSpacing/>
    </w:pPr>
    <w:rPr>
      <w:sz w:val="22"/>
      <w:szCs w:val="22"/>
      <w:lang w:val="en-US"/>
    </w:rPr>
  </w:style>
  <w:style w:type="character" w:styleId="IntenseEmphasis">
    <w:name w:val="Intense Emphasis"/>
    <w:basedOn w:val="DefaultParagraphFont"/>
    <w:uiPriority w:val="21"/>
    <w:qFormat/>
    <w:rsid w:val="00C808D1"/>
    <w:rPr>
      <w:i/>
      <w:iCs/>
      <w:color w:val="0F4761" w:themeColor="accent1" w:themeShade="BF"/>
    </w:rPr>
  </w:style>
  <w:style w:type="paragraph" w:styleId="IntenseQuote">
    <w:name w:val="Intense Quote"/>
    <w:basedOn w:val="Normal"/>
    <w:next w:val="Normal"/>
    <w:link w:val="IntenseQuoteChar"/>
    <w:uiPriority w:val="30"/>
    <w:qFormat/>
    <w:rsid w:val="00C8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2"/>
      <w:szCs w:val="22"/>
      <w:lang w:val="en-US"/>
    </w:rPr>
  </w:style>
  <w:style w:type="character" w:customStyle="1" w:styleId="IntenseQuoteChar">
    <w:name w:val="Intense Quote Char"/>
    <w:basedOn w:val="DefaultParagraphFont"/>
    <w:link w:val="IntenseQuote"/>
    <w:uiPriority w:val="30"/>
    <w:rsid w:val="00C808D1"/>
    <w:rPr>
      <w:i/>
      <w:iCs/>
      <w:color w:val="0F4761" w:themeColor="accent1" w:themeShade="BF"/>
    </w:rPr>
  </w:style>
  <w:style w:type="character" w:styleId="IntenseReference">
    <w:name w:val="Intense Reference"/>
    <w:basedOn w:val="DefaultParagraphFont"/>
    <w:uiPriority w:val="32"/>
    <w:qFormat/>
    <w:rsid w:val="00C808D1"/>
    <w:rPr>
      <w:b/>
      <w:bCs/>
      <w:smallCaps/>
      <w:color w:val="0F4761" w:themeColor="accent1" w:themeShade="BF"/>
      <w:spacing w:val="5"/>
    </w:rPr>
  </w:style>
  <w:style w:type="paragraph" w:styleId="Footer">
    <w:name w:val="footer"/>
    <w:basedOn w:val="Normal"/>
    <w:link w:val="FooterChar"/>
    <w:uiPriority w:val="99"/>
    <w:unhideWhenUsed/>
    <w:rsid w:val="00C808D1"/>
    <w:pPr>
      <w:tabs>
        <w:tab w:val="center" w:pos="4513"/>
        <w:tab w:val="right" w:pos="9026"/>
      </w:tabs>
    </w:pPr>
  </w:style>
  <w:style w:type="character" w:customStyle="1" w:styleId="FooterChar">
    <w:name w:val="Footer Char"/>
    <w:basedOn w:val="DefaultParagraphFont"/>
    <w:link w:val="Footer"/>
    <w:uiPriority w:val="99"/>
    <w:rsid w:val="00C808D1"/>
    <w:rPr>
      <w:sz w:val="24"/>
      <w:szCs w:val="24"/>
      <w:lang w:val="en-GB"/>
    </w:rPr>
  </w:style>
  <w:style w:type="character" w:styleId="PageNumber">
    <w:name w:val="page number"/>
    <w:basedOn w:val="DefaultParagraphFont"/>
    <w:uiPriority w:val="99"/>
    <w:semiHidden/>
    <w:unhideWhenUsed/>
    <w:rsid w:val="00C808D1"/>
  </w:style>
  <w:style w:type="table" w:styleId="TableGrid">
    <w:name w:val="Table Grid"/>
    <w:basedOn w:val="TableNormal"/>
    <w:uiPriority w:val="39"/>
    <w:rsid w:val="00C80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1367</Words>
  <Characters>7797</Characters>
  <Application>Microsoft Office Word</Application>
  <DocSecurity>0</DocSecurity>
  <Lines>64</Lines>
  <Paragraphs>18</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Anghel, Veronica</dc:creator>
  <cp:keywords/>
  <dc:description/>
  <cp:lastModifiedBy>Anghel, Veronica</cp:lastModifiedBy>
  <cp:revision>1</cp:revision>
  <dcterms:created xsi:type="dcterms:W3CDTF">2024-10-17T13:51:00Z</dcterms:created>
  <dcterms:modified xsi:type="dcterms:W3CDTF">2024-10-17T13:51:00Z</dcterms:modified>
</cp:coreProperties>
</file>