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050EB" w14:textId="77777777" w:rsidR="000733FA" w:rsidRPr="000733FA" w:rsidRDefault="000733FA" w:rsidP="000733FA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0733FA">
        <w:rPr>
          <w:rFonts w:ascii="Times New Roman" w:hAnsi="Times New Roman" w:cs="Times New Roman"/>
          <w:b/>
          <w:bCs/>
          <w:sz w:val="23"/>
          <w:szCs w:val="23"/>
        </w:rPr>
        <w:t>WP5: Economic Dimensions of Enlargement</w:t>
      </w:r>
    </w:p>
    <w:p w14:paraId="30EF19C0" w14:textId="77777777" w:rsidR="000733FA" w:rsidRP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Rcsostblzat"/>
        <w:tblW w:w="9640" w:type="dxa"/>
        <w:tblLook w:val="04A0" w:firstRow="1" w:lastRow="0" w:firstColumn="1" w:lastColumn="0" w:noHBand="0" w:noVBand="1"/>
      </w:tblPr>
      <w:tblGrid>
        <w:gridCol w:w="5509"/>
        <w:gridCol w:w="4131"/>
      </w:tblGrid>
      <w:tr w:rsidR="000733FA" w:rsidRPr="000733FA" w14:paraId="7B1997F9" w14:textId="77777777" w:rsidTr="000733FA">
        <w:trPr>
          <w:trHeight w:val="272"/>
        </w:trPr>
        <w:tc>
          <w:tcPr>
            <w:tcW w:w="0" w:type="auto"/>
            <w:hideMark/>
          </w:tcPr>
          <w:p w14:paraId="1A2D01E5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Field</w:t>
            </w:r>
          </w:p>
        </w:tc>
        <w:tc>
          <w:tcPr>
            <w:tcW w:w="0" w:type="auto"/>
            <w:hideMark/>
          </w:tcPr>
          <w:p w14:paraId="4BAE5C59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</w:tr>
      <w:tr w:rsidR="000733FA" w:rsidRPr="000733FA" w14:paraId="4F421D1B" w14:textId="77777777" w:rsidTr="000733FA">
        <w:trPr>
          <w:trHeight w:val="292"/>
        </w:trPr>
        <w:tc>
          <w:tcPr>
            <w:tcW w:w="0" w:type="auto"/>
            <w:hideMark/>
          </w:tcPr>
          <w:p w14:paraId="1FE81CE7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Lead Beneficiary</w:t>
            </w:r>
          </w:p>
        </w:tc>
        <w:tc>
          <w:tcPr>
            <w:tcW w:w="0" w:type="auto"/>
            <w:hideMark/>
          </w:tcPr>
          <w:p w14:paraId="26A97D8C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SWPS</w:t>
            </w:r>
          </w:p>
        </w:tc>
      </w:tr>
      <w:tr w:rsidR="000733FA" w:rsidRPr="000733FA" w14:paraId="4688FFE5" w14:textId="77777777" w:rsidTr="000733FA">
        <w:trPr>
          <w:trHeight w:val="272"/>
        </w:trPr>
        <w:tc>
          <w:tcPr>
            <w:tcW w:w="0" w:type="auto"/>
            <w:hideMark/>
          </w:tcPr>
          <w:p w14:paraId="366365F5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Co-lead</w:t>
            </w:r>
          </w:p>
        </w:tc>
        <w:tc>
          <w:tcPr>
            <w:tcW w:w="0" w:type="auto"/>
            <w:hideMark/>
          </w:tcPr>
          <w:p w14:paraId="1E4B36FB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CEU DI</w:t>
            </w:r>
          </w:p>
        </w:tc>
      </w:tr>
      <w:tr w:rsidR="000733FA" w:rsidRPr="000733FA" w14:paraId="4928FB89" w14:textId="77777777" w:rsidTr="000733FA">
        <w:trPr>
          <w:trHeight w:val="272"/>
        </w:trPr>
        <w:tc>
          <w:tcPr>
            <w:tcW w:w="0" w:type="auto"/>
            <w:hideMark/>
          </w:tcPr>
          <w:p w14:paraId="10CDBD53" w14:textId="77777777" w:rsidR="000733FA" w:rsidRPr="00717DDB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717DDB">
              <w:rPr>
                <w:rFonts w:ascii="Times New Roman" w:hAnsi="Times New Roman" w:cs="Times New Roman"/>
                <w:sz w:val="23"/>
                <w:szCs w:val="23"/>
              </w:rPr>
              <w:t>Start Month</w:t>
            </w:r>
          </w:p>
        </w:tc>
        <w:tc>
          <w:tcPr>
            <w:tcW w:w="0" w:type="auto"/>
            <w:hideMark/>
          </w:tcPr>
          <w:p w14:paraId="3FE4D76B" w14:textId="03094F2A" w:rsidR="000733FA" w:rsidRPr="00717DDB" w:rsidRDefault="00717DDB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717DDB">
              <w:rPr>
                <w:rFonts w:ascii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0733FA" w:rsidRPr="000733FA" w14:paraId="0F8D4A47" w14:textId="77777777" w:rsidTr="000733FA">
        <w:trPr>
          <w:trHeight w:val="292"/>
        </w:trPr>
        <w:tc>
          <w:tcPr>
            <w:tcW w:w="0" w:type="auto"/>
            <w:hideMark/>
          </w:tcPr>
          <w:p w14:paraId="4446A48A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End Month</w:t>
            </w:r>
          </w:p>
        </w:tc>
        <w:tc>
          <w:tcPr>
            <w:tcW w:w="0" w:type="auto"/>
            <w:hideMark/>
          </w:tcPr>
          <w:p w14:paraId="65231FF1" w14:textId="12F59AB9" w:rsidR="000733FA" w:rsidRPr="0063482F" w:rsidRDefault="00F5014B" w:rsidP="000733FA">
            <w:pPr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32</w:t>
            </w:r>
          </w:p>
        </w:tc>
      </w:tr>
    </w:tbl>
    <w:p w14:paraId="26917285" w14:textId="77777777" w:rsid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p w14:paraId="3A674495" w14:textId="34E3311C" w:rsidR="000733FA" w:rsidRP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Rcsostblzat"/>
        <w:tblW w:w="9621" w:type="dxa"/>
        <w:tblLook w:val="04A0" w:firstRow="1" w:lastRow="0" w:firstColumn="1" w:lastColumn="0" w:noHBand="0" w:noVBand="1"/>
      </w:tblPr>
      <w:tblGrid>
        <w:gridCol w:w="1162"/>
        <w:gridCol w:w="8459"/>
      </w:tblGrid>
      <w:tr w:rsidR="000733FA" w:rsidRPr="000733FA" w14:paraId="00D19092" w14:textId="77777777" w:rsidTr="000733FA">
        <w:trPr>
          <w:trHeight w:val="261"/>
        </w:trPr>
        <w:tc>
          <w:tcPr>
            <w:tcW w:w="0" w:type="auto"/>
            <w:hideMark/>
          </w:tcPr>
          <w:p w14:paraId="26BEEA36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Objective</w:t>
            </w:r>
          </w:p>
        </w:tc>
        <w:tc>
          <w:tcPr>
            <w:tcW w:w="0" w:type="auto"/>
            <w:hideMark/>
          </w:tcPr>
          <w:p w14:paraId="052BEA8B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</w:tr>
      <w:tr w:rsidR="000733FA" w:rsidRPr="000733FA" w14:paraId="797BD776" w14:textId="77777777" w:rsidTr="00400249">
        <w:trPr>
          <w:trHeight w:val="786"/>
        </w:trPr>
        <w:tc>
          <w:tcPr>
            <w:tcW w:w="0" w:type="auto"/>
            <w:hideMark/>
          </w:tcPr>
          <w:p w14:paraId="6F739305" w14:textId="512A0A83" w:rsidR="000733FA" w:rsidRPr="000733FA" w:rsidRDefault="000733FA" w:rsidP="0040024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hideMark/>
          </w:tcPr>
          <w:p w14:paraId="3FDC176F" w14:textId="717F7DE1" w:rsidR="000733FA" w:rsidRPr="000733FA" w:rsidRDefault="000733FA" w:rsidP="0040024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Conduct a comprehensive analysis</w:t>
            </w:r>
            <w:r w:rsidR="006A2A3B">
              <w:rPr>
                <w:rFonts w:ascii="Times New Roman" w:hAnsi="Times New Roman" w:cs="Times New Roman"/>
                <w:sz w:val="23"/>
                <w:szCs w:val="23"/>
              </w:rPr>
              <w:t xml:space="preserve"> and problematising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of the economic costs and benefits of enlargement for the EU, its member states, and candidate countries. Develop tailored recommendations and narratives for effectively communicating these findings in different national contexts.</w:t>
            </w:r>
          </w:p>
        </w:tc>
      </w:tr>
      <w:tr w:rsidR="000733FA" w:rsidRPr="000733FA" w14:paraId="5280803B" w14:textId="77777777" w:rsidTr="00DF2D64">
        <w:trPr>
          <w:trHeight w:val="513"/>
        </w:trPr>
        <w:tc>
          <w:tcPr>
            <w:tcW w:w="0" w:type="auto"/>
            <w:hideMark/>
          </w:tcPr>
          <w:p w14:paraId="1F05B76A" w14:textId="03BD7D8C" w:rsidR="000733FA" w:rsidRPr="000733FA" w:rsidRDefault="000733FA" w:rsidP="0040024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395A266A" w14:textId="312CDAB4" w:rsidR="000733FA" w:rsidRPr="000733FA" w:rsidRDefault="006A2A3B" w:rsidP="0040024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Applying</w:t>
            </w:r>
            <w:r w:rsidR="000733FA"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thematic </w:t>
            </w:r>
            <w:proofErr w:type="spellStart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political</w:t>
            </w:r>
            <w:proofErr w:type="spellEnd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0733FA" w:rsidRPr="000733FA">
              <w:rPr>
                <w:rFonts w:ascii="Times New Roman" w:hAnsi="Times New Roman" w:cs="Times New Roman"/>
                <w:sz w:val="23"/>
                <w:szCs w:val="23"/>
              </w:rPr>
              <w:t>economic lessons from previous EU enlargements</w:t>
            </w:r>
            <w:r w:rsidR="00DF2D64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r w:rsidR="00DF2D64" w:rsidRPr="00DF2D64">
              <w:rPr>
                <w:rFonts w:ascii="Times New Roman" w:hAnsi="Times New Roman" w:cs="Times New Roman"/>
                <w:sz w:val="23"/>
                <w:szCs w:val="23"/>
              </w:rPr>
              <w:t xml:space="preserve">what </w:t>
            </w:r>
            <w:proofErr w:type="spellStart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does</w:t>
            </w:r>
            <w:proofErr w:type="spellEnd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proofErr w:type="spellStart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it</w:t>
            </w:r>
            <w:proofErr w:type="spellEnd"/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DF2D64" w:rsidRPr="00DF2D64">
              <w:rPr>
                <w:rFonts w:ascii="Times New Roman" w:hAnsi="Times New Roman" w:cs="Times New Roman"/>
                <w:sz w:val="23"/>
                <w:szCs w:val="23"/>
              </w:rPr>
              <w:t>mean in terms of the underlying political economy</w:t>
            </w:r>
            <w:r w:rsidR="00DF2D64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0733FA" w:rsidRPr="000733FA">
              <w:rPr>
                <w:rFonts w:ascii="Times New Roman" w:hAnsi="Times New Roman" w:cs="Times New Roman"/>
                <w:sz w:val="23"/>
                <w:szCs w:val="23"/>
              </w:rPr>
              <w:t>and identify similarities and differences with today’s candidate countries.</w:t>
            </w:r>
          </w:p>
        </w:tc>
      </w:tr>
      <w:tr w:rsidR="000733FA" w:rsidRPr="000733FA" w14:paraId="148612CF" w14:textId="77777777" w:rsidTr="000733FA">
        <w:trPr>
          <w:trHeight w:val="1332"/>
        </w:trPr>
        <w:tc>
          <w:tcPr>
            <w:tcW w:w="0" w:type="auto"/>
            <w:hideMark/>
          </w:tcPr>
          <w:p w14:paraId="02A3DBC1" w14:textId="0F14861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hideMark/>
          </w:tcPr>
          <w:p w14:paraId="63321CC1" w14:textId="5C2B9046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Assess the</w:t>
            </w:r>
            <w:r w:rsidR="006A2A3B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long-term economic impacts of EU enlargement and post-accession developments, and their relationship with political attitudes and </w:t>
            </w:r>
            <w:proofErr w:type="spellStart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behaviors</w:t>
            </w:r>
            <w:proofErr w:type="spellEnd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across member states, with focused analysis on Hungary and Poland. This includes comparing absolute and relative socio-economic changes (national/EU averages), their effects on political divides, and the influence of subjective socio-economic evaluations and political trust using survey data. This includes exploring patterns of citizen inclusion/exclusion in the accession process, particularly in Ukraine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0733FA" w:rsidRPr="000733FA" w14:paraId="1CD72EDE" w14:textId="77777777" w:rsidTr="000733FA">
        <w:trPr>
          <w:trHeight w:val="833"/>
        </w:trPr>
        <w:tc>
          <w:tcPr>
            <w:tcW w:w="0" w:type="auto"/>
            <w:hideMark/>
          </w:tcPr>
          <w:p w14:paraId="768C4FA2" w14:textId="4C90AFB1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hideMark/>
          </w:tcPr>
          <w:p w14:paraId="7FD80224" w14:textId="64703E2D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Examine variation in the </w:t>
            </w:r>
            <w:proofErr w:type="spellStart"/>
            <w:r w:rsidR="0065608E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governance</w:t>
            </w:r>
            <w:proofErr w:type="spellEnd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of</w:t>
            </w:r>
            <w:r w:rsidR="002C5464">
              <w:rPr>
                <w:rFonts w:ascii="Times New Roman" w:hAnsi="Times New Roman" w:cs="Times New Roman"/>
                <w:sz w:val="23"/>
                <w:szCs w:val="23"/>
              </w:rPr>
              <w:t xml:space="preserve"> using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EU fund</w:t>
            </w:r>
            <w:r w:rsidR="002C5464">
              <w:rPr>
                <w:rFonts w:ascii="Times New Roman" w:hAnsi="Times New Roman" w:cs="Times New Roman"/>
                <w:sz w:val="23"/>
                <w:szCs w:val="23"/>
              </w:rPr>
              <w:t>s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, with special attention to differences within and between member states and candidate countries</w:t>
            </w:r>
            <w:r w:rsidR="002C5464">
              <w:rPr>
                <w:rFonts w:ascii="Times New Roman" w:hAnsi="Times New Roman" w:cs="Times New Roman"/>
                <w:sz w:val="23"/>
                <w:szCs w:val="23"/>
              </w:rPr>
              <w:t xml:space="preserve"> at the level of subnational regional development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</w:tc>
      </w:tr>
      <w:tr w:rsidR="000733FA" w:rsidRPr="000733FA" w14:paraId="00591D9D" w14:textId="77777777" w:rsidTr="000733FA">
        <w:trPr>
          <w:trHeight w:val="806"/>
        </w:trPr>
        <w:tc>
          <w:tcPr>
            <w:tcW w:w="0" w:type="auto"/>
            <w:hideMark/>
          </w:tcPr>
          <w:p w14:paraId="3E11166B" w14:textId="77777777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O5.5</w:t>
            </w:r>
          </w:p>
        </w:tc>
        <w:tc>
          <w:tcPr>
            <w:tcW w:w="0" w:type="auto"/>
            <w:hideMark/>
          </w:tcPr>
          <w:p w14:paraId="3095DD57" w14:textId="74ED45FC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Synthesize findings to provide adaptive, flexible policy recommendations for future enlargement, ensuring responsiveness to regional, national, and EU-level economic challenges and opportunities, and engage stakeholders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(FUSE Civil Society Network and Expert Hub) throughout the lifetime of the WP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to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validat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e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its methodology, findings and actionable policy recommendations.</w:t>
            </w:r>
          </w:p>
        </w:tc>
      </w:tr>
    </w:tbl>
    <w:p w14:paraId="75D1BCB1" w14:textId="761F1B58" w:rsid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p w14:paraId="2E322DD7" w14:textId="77777777" w:rsidR="000733FA" w:rsidRP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Rcsostblzat"/>
        <w:tblW w:w="9641" w:type="dxa"/>
        <w:tblLayout w:type="fixed"/>
        <w:tblLook w:val="04A0" w:firstRow="1" w:lastRow="0" w:firstColumn="1" w:lastColumn="0" w:noHBand="0" w:noVBand="1"/>
      </w:tblPr>
      <w:tblGrid>
        <w:gridCol w:w="1129"/>
        <w:gridCol w:w="8512"/>
      </w:tblGrid>
      <w:tr w:rsidR="000733FA" w:rsidRPr="000733FA" w14:paraId="2301EA02" w14:textId="77777777" w:rsidTr="009705AC">
        <w:trPr>
          <w:trHeight w:val="261"/>
        </w:trPr>
        <w:tc>
          <w:tcPr>
            <w:tcW w:w="1129" w:type="dxa"/>
            <w:hideMark/>
          </w:tcPr>
          <w:p w14:paraId="0A40B609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Task</w:t>
            </w:r>
          </w:p>
        </w:tc>
        <w:tc>
          <w:tcPr>
            <w:tcW w:w="8512" w:type="dxa"/>
            <w:hideMark/>
          </w:tcPr>
          <w:p w14:paraId="6F942FFD" w14:textId="77777777" w:rsidR="000733FA" w:rsidRPr="000733FA" w:rsidRDefault="000733FA" w:rsidP="000733FA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Details</w:t>
            </w:r>
          </w:p>
        </w:tc>
      </w:tr>
      <w:tr w:rsidR="000733FA" w:rsidRPr="000733FA" w14:paraId="44D8F176" w14:textId="77777777" w:rsidTr="00FF0416">
        <w:trPr>
          <w:trHeight w:val="1812"/>
        </w:trPr>
        <w:tc>
          <w:tcPr>
            <w:tcW w:w="1129" w:type="dxa"/>
            <w:hideMark/>
          </w:tcPr>
          <w:p w14:paraId="1B7B1430" w14:textId="48D1EADE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Task 5.1: </w:t>
            </w:r>
          </w:p>
        </w:tc>
        <w:tc>
          <w:tcPr>
            <w:tcW w:w="8512" w:type="dxa"/>
            <w:hideMark/>
          </w:tcPr>
          <w:p w14:paraId="595599F0" w14:textId="116B7599" w:rsidR="005E7A37" w:rsidRDefault="005E7A37" w:rsidP="005E7A37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 w:rsidRPr="005E7A37">
              <w:rPr>
                <w:rFonts w:ascii="Times" w:eastAsia="Times" w:hAnsi="Times" w:cs="Times"/>
                <w:bCs/>
                <w:sz w:val="22"/>
                <w:szCs w:val="22"/>
              </w:rPr>
              <w:t xml:space="preserve">- </w:t>
            </w:r>
            <w:r w:rsidR="00E561AF" w:rsidRPr="005E7A37">
              <w:rPr>
                <w:rFonts w:ascii="Times" w:eastAsia="Times" w:hAnsi="Times" w:cs="Times"/>
                <w:bCs/>
                <w:sz w:val="22"/>
                <w:szCs w:val="22"/>
              </w:rPr>
              <w:t>Systematic literature review</w:t>
            </w:r>
            <w:r w:rsidR="009705AC">
              <w:rPr>
                <w:rFonts w:ascii="Times" w:eastAsia="Times" w:hAnsi="Times" w:cs="Times"/>
                <w:bCs/>
                <w:sz w:val="22"/>
                <w:szCs w:val="22"/>
              </w:rPr>
              <w:t xml:space="preserve"> </w:t>
            </w:r>
            <w:r w:rsidR="00E561AF" w:rsidRPr="005E7A37">
              <w:rPr>
                <w:rFonts w:ascii="Times" w:eastAsia="Times" w:hAnsi="Times" w:cs="Times"/>
                <w:bCs/>
                <w:sz w:val="22"/>
                <w:szCs w:val="22"/>
              </w:rPr>
              <w:t>including a review of previous Horizon project findings,</w:t>
            </w:r>
            <w:r w:rsidR="003B3FE9">
              <w:rPr>
                <w:rFonts w:ascii="Times" w:eastAsia="Times" w:hAnsi="Times" w:cs="Times"/>
                <w:bCs/>
                <w:sz w:val="22"/>
                <w:szCs w:val="22"/>
              </w:rPr>
              <w:t xml:space="preserve"> with a focus on the limitations on the static</w:t>
            </w:r>
            <w:r w:rsidR="00E561AF">
              <w:rPr>
                <w:rFonts w:ascii="Times" w:eastAsia="Times" w:hAnsi="Times" w:cs="Times"/>
                <w:sz w:val="22"/>
                <w:szCs w:val="22"/>
              </w:rPr>
              <w:t xml:space="preserve"> q</w:t>
            </w:r>
            <w:r w:rsidR="00E561AF" w:rsidRPr="000733FA">
              <w:rPr>
                <w:rFonts w:ascii="Times New Roman" w:hAnsi="Times New Roman" w:cs="Times New Roman"/>
                <w:sz w:val="23"/>
                <w:szCs w:val="23"/>
              </w:rPr>
              <w:t>uantitative</w:t>
            </w:r>
            <w:r w:rsidR="00E561A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E561AF" w:rsidRPr="000733FA">
              <w:rPr>
                <w:rFonts w:ascii="Times New Roman" w:hAnsi="Times New Roman" w:cs="Times New Roman"/>
                <w:sz w:val="23"/>
                <w:szCs w:val="23"/>
              </w:rPr>
              <w:t>assess</w:t>
            </w:r>
            <w:r w:rsidR="00E561A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ment</w:t>
            </w:r>
            <w:r w:rsidR="003B3FE9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s</w:t>
            </w:r>
            <w:r w:rsidR="00E561A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of</w:t>
            </w:r>
            <w:r w:rsidR="00E561AF"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the economic costs and benefits of enlargement for the EU</w:t>
            </w:r>
            <w:r w:rsidR="00F35B89">
              <w:rPr>
                <w:rFonts w:ascii="Times New Roman" w:hAnsi="Times New Roman" w:cs="Times New Roman"/>
                <w:sz w:val="23"/>
                <w:szCs w:val="23"/>
              </w:rPr>
              <w:t>,</w:t>
            </w:r>
            <w:r w:rsidR="00E561AF"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member states, and candidate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countries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. </w:t>
            </w:r>
          </w:p>
          <w:p w14:paraId="5BC23786" w14:textId="0AD17B05" w:rsidR="000733FA" w:rsidRPr="00FE405F" w:rsidRDefault="00FE405F" w:rsidP="009705AC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 w:rsidRPr="005E7A37">
              <w:rPr>
                <w:rFonts w:ascii="Times" w:eastAsia="Times" w:hAnsi="Times" w:cs="Times"/>
                <w:bCs/>
                <w:sz w:val="22"/>
                <w:szCs w:val="22"/>
              </w:rPr>
              <w:t xml:space="preserve">- Systematic literature review - including a review of previous Horizon project findings - of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enlargement rounds, focusing on economic terms and conditions of accession treaties (e.g., transition periods, funding arrangements)</w:t>
            </w:r>
            <w:r w:rsidR="009705AC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(lead: CEU DI, partner: SWPS; M7-1</w:t>
            </w:r>
            <w:r w:rsidR="009705AC">
              <w:rPr>
                <w:rFonts w:ascii="Times" w:eastAsia="Times" w:hAnsi="Times" w:cs="Times"/>
                <w:color w:val="000000"/>
                <w:sz w:val="22"/>
                <w:szCs w:val="22"/>
              </w:rPr>
              <w:t>8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)</w:t>
            </w:r>
            <w:r w:rsidR="009705AC">
              <w:rPr>
                <w:rFonts w:ascii="Times" w:eastAsia="Times" w:hAnsi="Times" w:cs="Times"/>
                <w:color w:val="000000"/>
                <w:sz w:val="22"/>
                <w:szCs w:val="22"/>
              </w:rPr>
              <w:t>.</w:t>
            </w:r>
          </w:p>
        </w:tc>
      </w:tr>
      <w:tr w:rsidR="00A415B9" w:rsidRPr="000733FA" w14:paraId="7DECBA17" w14:textId="77777777" w:rsidTr="009705AC">
        <w:trPr>
          <w:trHeight w:val="142"/>
        </w:trPr>
        <w:tc>
          <w:tcPr>
            <w:tcW w:w="1129" w:type="dxa"/>
            <w:hideMark/>
          </w:tcPr>
          <w:p w14:paraId="36F82308" w14:textId="382C25F5" w:rsidR="00A415B9" w:rsidRPr="000733FA" w:rsidRDefault="00A415B9" w:rsidP="00400249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Task 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</w:p>
        </w:tc>
        <w:tc>
          <w:tcPr>
            <w:tcW w:w="8512" w:type="dxa"/>
            <w:hideMark/>
          </w:tcPr>
          <w:p w14:paraId="6864CBD6" w14:textId="56A79423" w:rsidR="002E7D39" w:rsidRPr="00FF0416" w:rsidRDefault="00FE405F" w:rsidP="00FF0416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FF0416">
              <w:rPr>
                <w:rFonts w:ascii="Times New Roman" w:hAnsi="Times New Roman" w:cs="Times New Roman"/>
                <w:sz w:val="23"/>
                <w:szCs w:val="23"/>
              </w:rPr>
              <w:t xml:space="preserve">- </w:t>
            </w:r>
            <w:r w:rsidR="003B3FE9">
              <w:rPr>
                <w:rFonts w:ascii="Times New Roman" w:hAnsi="Times New Roman" w:cs="Times New Roman"/>
                <w:sz w:val="23"/>
                <w:szCs w:val="23"/>
              </w:rPr>
              <w:t xml:space="preserve">Critical </w:t>
            </w:r>
            <w:r w:rsidR="003B3FE9" w:rsidRPr="005E7A37">
              <w:rPr>
                <w:rFonts w:ascii="Times" w:eastAsia="Times" w:hAnsi="Times" w:cs="Times"/>
                <w:bCs/>
                <w:sz w:val="22"/>
                <w:szCs w:val="22"/>
              </w:rPr>
              <w:t>literature review - including a review of previous Horizon project findings</w:t>
            </w:r>
            <w:r w:rsidR="003B3FE9">
              <w:rPr>
                <w:rFonts w:ascii="Times" w:eastAsia="Times" w:hAnsi="Times" w:cs="Times"/>
                <w:bCs/>
                <w:sz w:val="22"/>
                <w:szCs w:val="22"/>
              </w:rPr>
              <w:t xml:space="preserve">, systematic comparison of the key elements of the integration strategies during the Southern enlargement, the previous wave of Eastern enlargement and the recent wave 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(lead: CEU DI, partner: SWPS; M</w:t>
            </w:r>
            <w:r w:rsidR="00DF2D64">
              <w:rPr>
                <w:rFonts w:ascii="Times" w:eastAsia="Times" w:hAnsi="Times" w:cs="Times"/>
                <w:color w:val="000000"/>
                <w:sz w:val="22"/>
                <w:szCs w:val="22"/>
              </w:rPr>
              <w:t>7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-</w:t>
            </w:r>
            <w:r w:rsidR="00DF2D64">
              <w:rPr>
                <w:rFonts w:ascii="Times" w:eastAsia="Times" w:hAnsi="Times" w:cs="Times"/>
                <w:color w:val="000000"/>
                <w:sz w:val="22"/>
                <w:szCs w:val="22"/>
              </w:rPr>
              <w:t>18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)</w:t>
            </w:r>
          </w:p>
        </w:tc>
      </w:tr>
      <w:tr w:rsidR="000733FA" w:rsidRPr="000733FA" w14:paraId="3711E8B1" w14:textId="77777777" w:rsidTr="009705AC">
        <w:trPr>
          <w:trHeight w:val="142"/>
        </w:trPr>
        <w:tc>
          <w:tcPr>
            <w:tcW w:w="1129" w:type="dxa"/>
            <w:hideMark/>
          </w:tcPr>
          <w:p w14:paraId="51B41747" w14:textId="5B3E57AA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Task 5.</w:t>
            </w:r>
            <w:r w:rsidR="00A415B9">
              <w:rPr>
                <w:rFonts w:ascii="Times New Roman" w:hAnsi="Times New Roman" w:cs="Times New Roman"/>
                <w:sz w:val="23"/>
                <w:szCs w:val="23"/>
              </w:rPr>
              <w:t>3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: </w:t>
            </w:r>
          </w:p>
        </w:tc>
        <w:tc>
          <w:tcPr>
            <w:tcW w:w="8512" w:type="dxa"/>
            <w:hideMark/>
          </w:tcPr>
          <w:p w14:paraId="6BB3494C" w14:textId="77777777" w:rsidR="00B8155C" w:rsidRDefault="00B8155C" w:rsidP="00FE405F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- 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Design a longitudinal and comparative analysis methodology to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capture</w:t>
            </w:r>
            <w:proofErr w:type="spellEnd"/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 citizens’ perceptions of the enlargement process in socio-economic developments in post-accession periods using absolute and relative indicators (growth, decline, stagnation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04EDEFB7" w14:textId="542E56B2" w:rsidR="000733FA" w:rsidRPr="00B8155C" w:rsidRDefault="00FF0416" w:rsidP="00FE405F">
            <w:pPr>
              <w:jc w:val="both"/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- </w:t>
            </w:r>
            <w:r w:rsidRPr="005E7A37">
              <w:rPr>
                <w:rFonts w:ascii="Times" w:eastAsia="Times" w:hAnsi="Times" w:cs="Times"/>
                <w:bCs/>
                <w:sz w:val="22"/>
                <w:szCs w:val="22"/>
              </w:rPr>
              <w:t xml:space="preserve">Systematic </w:t>
            </w:r>
            <w:r>
              <w:rPr>
                <w:rFonts w:ascii="Times" w:eastAsia="Times" w:hAnsi="Times" w:cs="Times"/>
                <w:bCs/>
                <w:sz w:val="22"/>
                <w:szCs w:val="22"/>
              </w:rPr>
              <w:t>data research and data collection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to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a</w:t>
            </w:r>
            <w:proofErr w:type="spellStart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nalyze</w:t>
            </w:r>
            <w:proofErr w:type="spellEnd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long-term post-accession socio-economic developments and their relationship to political attitudes and </w:t>
            </w:r>
            <w:proofErr w:type="spellStart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behaviors</w:t>
            </w:r>
            <w:proofErr w:type="spellEnd"/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, with a focus on Hungary and Poland. Compare absolute and relative socio-economic changes (national/EU averages) and their impact on political divides and attitudes toward EU integration</w:t>
            </w:r>
            <w:r w:rsidR="00B8155C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="005E7A37" w:rsidRP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(lead: </w:t>
            </w:r>
            <w:r w:rsidR="003B5AF3" w:rsidRP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>SWPS</w:t>
            </w:r>
            <w:r w:rsidR="005E7A37" w:rsidRP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, partner: </w:t>
            </w:r>
            <w:r w:rsidR="003B5AF3">
              <w:rPr>
                <w:rFonts w:ascii="Times" w:eastAsia="Times" w:hAnsi="Times" w:cs="Times"/>
                <w:color w:val="000000"/>
                <w:sz w:val="22"/>
                <w:szCs w:val="22"/>
              </w:rPr>
              <w:t>CEU DI</w:t>
            </w:r>
            <w:r w:rsidR="005E7A37" w:rsidRP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>; M13-24)</w:t>
            </w:r>
            <w:r w:rsidR="00B8155C">
              <w:rPr>
                <w:rFonts w:ascii="Times" w:eastAsia="Times" w:hAnsi="Times" w:cs="Times"/>
                <w:color w:val="000000"/>
                <w:sz w:val="22"/>
                <w:szCs w:val="22"/>
              </w:rPr>
              <w:t>.</w:t>
            </w:r>
          </w:p>
        </w:tc>
      </w:tr>
      <w:tr w:rsidR="000733FA" w:rsidRPr="000733FA" w14:paraId="3928FD03" w14:textId="77777777" w:rsidTr="009705AC">
        <w:trPr>
          <w:trHeight w:val="142"/>
        </w:trPr>
        <w:tc>
          <w:tcPr>
            <w:tcW w:w="1129" w:type="dxa"/>
            <w:hideMark/>
          </w:tcPr>
          <w:p w14:paraId="13C8FA2B" w14:textId="796CB2C9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Task 5.4: </w:t>
            </w:r>
          </w:p>
        </w:tc>
        <w:tc>
          <w:tcPr>
            <w:tcW w:w="8512" w:type="dxa"/>
            <w:hideMark/>
          </w:tcPr>
          <w:p w14:paraId="11BBC07F" w14:textId="07315691" w:rsidR="00FF0416" w:rsidRDefault="00FF0416" w:rsidP="00FF0416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- </w:t>
            </w:r>
            <w:r>
              <w:rPr>
                <w:rFonts w:ascii="Times" w:eastAsia="Times" w:hAnsi="Times" w:cs="Times"/>
                <w:sz w:val="22"/>
                <w:szCs w:val="22"/>
              </w:rPr>
              <w:t xml:space="preserve">Exploring </w:t>
            </w:r>
            <w:r w:rsidR="00DB5F4E">
              <w:rPr>
                <w:rFonts w:ascii="Times" w:eastAsia="Times" w:hAnsi="Times" w:cs="Times"/>
                <w:sz w:val="22"/>
                <w:szCs w:val="22"/>
              </w:rPr>
              <w:t xml:space="preserve">secondary materials about 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>regional and subnational variation</w:t>
            </w:r>
            <w:r w:rsidRPr="00FE405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s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 in the </w:t>
            </w:r>
            <w:proofErr w:type="spellStart"/>
            <w:r w:rsidRPr="00FE405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governance</w:t>
            </w:r>
            <w:proofErr w:type="spellEnd"/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 of EU funding, with particular attention to Hungary and Poland.</w:t>
            </w:r>
          </w:p>
          <w:p w14:paraId="2031FFA4" w14:textId="08A5F007" w:rsidR="005E7A37" w:rsidRPr="00DB5F4E" w:rsidRDefault="00FF0416" w:rsidP="00FE405F">
            <w:pPr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- </w:t>
            </w:r>
            <w:r w:rsidR="00DB5F4E">
              <w:rPr>
                <w:rFonts w:ascii="Times New Roman" w:hAnsi="Times New Roman" w:cs="Times New Roman"/>
                <w:sz w:val="23"/>
                <w:szCs w:val="23"/>
              </w:rPr>
              <w:t>E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>xplore patterns of citizen inclusion/exclusion in the EU accession process</w:t>
            </w:r>
            <w:r w:rsidR="00DB5F4E">
              <w:rPr>
                <w:rFonts w:ascii="Times New Roman" w:hAnsi="Times New Roman" w:cs="Times New Roman"/>
                <w:sz w:val="23"/>
                <w:szCs w:val="23"/>
              </w:rPr>
              <w:t xml:space="preserve"> based on fieldwork (case studies)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 xml:space="preserve"> in </w:t>
            </w:r>
            <w:r w:rsidR="00DB5F4E">
              <w:rPr>
                <w:rFonts w:ascii="Times New Roman" w:hAnsi="Times New Roman" w:cs="Times New Roman"/>
                <w:sz w:val="23"/>
                <w:szCs w:val="23"/>
              </w:rPr>
              <w:t xml:space="preserve">two </w:t>
            </w:r>
            <w:r w:rsidRPr="00FE405F">
              <w:rPr>
                <w:rFonts w:ascii="Times New Roman" w:hAnsi="Times New Roman" w:cs="Times New Roman"/>
                <w:sz w:val="23"/>
                <w:szCs w:val="23"/>
              </w:rPr>
              <w:t>Ukraine</w:t>
            </w:r>
            <w:r w:rsidR="00DB5F4E">
              <w:rPr>
                <w:rFonts w:ascii="Times New Roman" w:hAnsi="Times New Roman" w:cs="Times New Roman"/>
                <w:sz w:val="23"/>
                <w:szCs w:val="23"/>
              </w:rPr>
              <w:t xml:space="preserve"> regions 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(lead: </w:t>
            </w:r>
            <w:r w:rsidR="003B5AF3">
              <w:rPr>
                <w:rFonts w:ascii="Times" w:eastAsia="Times" w:hAnsi="Times" w:cs="Times"/>
                <w:color w:val="000000"/>
                <w:sz w:val="22"/>
                <w:szCs w:val="22"/>
              </w:rPr>
              <w:t>CEU DI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, partner: </w:t>
            </w:r>
            <w:r w:rsidR="003B5AF3" w:rsidRP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>SWPS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>,</w:t>
            </w:r>
            <w:r w:rsidR="00FE405F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</w:t>
            </w:r>
            <w:r w:rsidR="00FE405F" w:rsidRPr="000733FA">
              <w:rPr>
                <w:rFonts w:ascii="Times New Roman" w:hAnsi="Times New Roman" w:cs="Times New Roman"/>
                <w:sz w:val="23"/>
                <w:szCs w:val="23"/>
              </w:rPr>
              <w:t>including ESS and collaboration with WP2</w:t>
            </w:r>
            <w:r w:rsidR="00FE405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,</w:t>
            </w:r>
            <w:r w:rsidR="005E7A37"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Expert hub; M13-24)</w:t>
            </w:r>
          </w:p>
        </w:tc>
      </w:tr>
      <w:tr w:rsidR="000733FA" w:rsidRPr="000733FA" w14:paraId="3ECA012D" w14:textId="77777777" w:rsidTr="009705AC">
        <w:trPr>
          <w:trHeight w:val="1059"/>
        </w:trPr>
        <w:tc>
          <w:tcPr>
            <w:tcW w:w="1129" w:type="dxa"/>
            <w:hideMark/>
          </w:tcPr>
          <w:p w14:paraId="747F2C09" w14:textId="2141EEA3" w:rsidR="000733FA" w:rsidRPr="000733FA" w:rsidRDefault="000733FA" w:rsidP="000733F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Task 5.5: </w:t>
            </w:r>
          </w:p>
        </w:tc>
        <w:tc>
          <w:tcPr>
            <w:tcW w:w="8512" w:type="dxa"/>
            <w:hideMark/>
          </w:tcPr>
          <w:p w14:paraId="4BABBE77" w14:textId="627FE924" w:rsidR="005E7A37" w:rsidRDefault="000733FA" w:rsidP="005E7A37">
            <w:pPr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- Synthesize findings into actionable, adaptive policy recommendations for future enlargement, responsive to regional and national </w:t>
            </w:r>
            <w:proofErr w:type="spellStart"/>
            <w:r w:rsidR="00FE405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governance</w:t>
            </w:r>
            <w:proofErr w:type="spellEnd"/>
            <w:r w:rsidR="00FE405F"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differences.</w:t>
            </w:r>
          </w:p>
          <w:p w14:paraId="4DC94E34" w14:textId="45D682F4" w:rsidR="000733FA" w:rsidRPr="000733FA" w:rsidRDefault="005E7A37" w:rsidP="005E7A37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(lead: SWPS, partner: CEU DI, Expert hub, TEPSA; M</w:t>
            </w:r>
            <w:r w:rsidR="0063482F">
              <w:rPr>
                <w:rFonts w:ascii="Times" w:eastAsia="Times" w:hAnsi="Times" w:cs="Times"/>
                <w:color w:val="000000"/>
                <w:sz w:val="22"/>
                <w:szCs w:val="22"/>
              </w:rPr>
              <w:t>7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-</w:t>
            </w:r>
            <w:r w:rsidR="0063482F">
              <w:rPr>
                <w:rFonts w:ascii="Times" w:eastAsia="Times" w:hAnsi="Times" w:cs="Times"/>
                <w:color w:val="000000"/>
                <w:sz w:val="22"/>
                <w:szCs w:val="22"/>
              </w:rPr>
              <w:t>24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)</w:t>
            </w:r>
            <w:r w:rsidR="000733FA" w:rsidRPr="000733FA">
              <w:rPr>
                <w:rFonts w:ascii="Times New Roman" w:hAnsi="Times New Roman" w:cs="Times New Roman"/>
                <w:sz w:val="23"/>
                <w:szCs w:val="23"/>
              </w:rPr>
              <w:br/>
            </w:r>
          </w:p>
        </w:tc>
      </w:tr>
    </w:tbl>
    <w:p w14:paraId="3BA1FDD8" w14:textId="77777777" w:rsid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tbl>
      <w:tblPr>
        <w:tblStyle w:val="Rcsostblzat"/>
        <w:tblW w:w="9601" w:type="dxa"/>
        <w:tblLook w:val="04A0" w:firstRow="1" w:lastRow="0" w:firstColumn="1" w:lastColumn="0" w:noHBand="0" w:noVBand="1"/>
      </w:tblPr>
      <w:tblGrid>
        <w:gridCol w:w="1341"/>
        <w:gridCol w:w="8260"/>
      </w:tblGrid>
      <w:tr w:rsidR="00570659" w:rsidRPr="000733FA" w14:paraId="52544FE8" w14:textId="77777777" w:rsidTr="00E63B1F">
        <w:trPr>
          <w:trHeight w:val="413"/>
        </w:trPr>
        <w:tc>
          <w:tcPr>
            <w:tcW w:w="0" w:type="auto"/>
            <w:hideMark/>
          </w:tcPr>
          <w:p w14:paraId="1E60C615" w14:textId="77777777" w:rsidR="00570659" w:rsidRPr="000733FA" w:rsidRDefault="00570659" w:rsidP="00E63B1F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Deliverable</w:t>
            </w:r>
          </w:p>
        </w:tc>
        <w:tc>
          <w:tcPr>
            <w:tcW w:w="0" w:type="auto"/>
            <w:hideMark/>
          </w:tcPr>
          <w:p w14:paraId="019BD558" w14:textId="77777777" w:rsidR="00570659" w:rsidRPr="000733FA" w:rsidRDefault="00570659" w:rsidP="00E63B1F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Description</w:t>
            </w:r>
          </w:p>
        </w:tc>
      </w:tr>
      <w:tr w:rsidR="00570659" w:rsidRPr="000733FA" w14:paraId="03955D11" w14:textId="77777777" w:rsidTr="00E63B1F">
        <w:trPr>
          <w:trHeight w:val="858"/>
        </w:trPr>
        <w:tc>
          <w:tcPr>
            <w:tcW w:w="0" w:type="auto"/>
            <w:hideMark/>
          </w:tcPr>
          <w:p w14:paraId="078A674E" w14:textId="77777777" w:rsidR="00570659" w:rsidRPr="000733FA" w:rsidRDefault="00570659" w:rsidP="00E63B1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D5.1</w:t>
            </w:r>
          </w:p>
        </w:tc>
        <w:tc>
          <w:tcPr>
            <w:tcW w:w="0" w:type="auto"/>
            <w:hideMark/>
          </w:tcPr>
          <w:p w14:paraId="63A9C91E" w14:textId="77777777" w:rsidR="00570659" w:rsidRPr="009602C5" w:rsidRDefault="00570659" w:rsidP="00E63B1F">
            <w:pPr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Policy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report on the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ambiguity of measuring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economic costs and benefits of enlargement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without considering the way enlargement governance can shape costs and benefits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formulation of recommendations for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tailored communication strategies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narratives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)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on enlargement governance that can provides mutually beneficial outcomes for EU member states and accession countries. 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(lead: CEU DI, partner: </w:t>
            </w:r>
            <w:r w:rsidRPr="003910DE">
              <w:rPr>
                <w:rFonts w:ascii="Times" w:eastAsia="Times" w:hAnsi="Times" w:cs="Times"/>
                <w:color w:val="000000"/>
                <w:sz w:val="22"/>
                <w:szCs w:val="22"/>
              </w:rPr>
              <w:t>SWPS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, M25-32)</w:t>
            </w:r>
          </w:p>
        </w:tc>
      </w:tr>
      <w:tr w:rsidR="00570659" w:rsidRPr="000733FA" w14:paraId="1A6BE678" w14:textId="77777777" w:rsidTr="00E63B1F">
        <w:trPr>
          <w:trHeight w:val="825"/>
        </w:trPr>
        <w:tc>
          <w:tcPr>
            <w:tcW w:w="0" w:type="auto"/>
            <w:hideMark/>
          </w:tcPr>
          <w:p w14:paraId="14200E80" w14:textId="77777777" w:rsidR="00570659" w:rsidRPr="000733FA" w:rsidRDefault="00570659" w:rsidP="00E63B1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D5.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hideMark/>
          </w:tcPr>
          <w:p w14:paraId="2CD8F641" w14:textId="4BB5B2A1" w:rsidR="00570659" w:rsidRPr="000733FA" w:rsidRDefault="00570659" w:rsidP="00E63B1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Policy report on the patterns of exclusion and inclusion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of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diverse stakeholders in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Ukrain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. Regions with comparison to EU strategies during the previous wave of Eastern enlargement, including actionable policy recommendations.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(lead: SWPS, partner: CEU DI, M25-32)</w:t>
            </w:r>
          </w:p>
        </w:tc>
      </w:tr>
      <w:tr w:rsidR="00570659" w:rsidRPr="000733FA" w14:paraId="5D08FE50" w14:textId="77777777" w:rsidTr="00E63B1F">
        <w:trPr>
          <w:trHeight w:val="858"/>
        </w:trPr>
        <w:tc>
          <w:tcPr>
            <w:tcW w:w="0" w:type="auto"/>
            <w:hideMark/>
          </w:tcPr>
          <w:p w14:paraId="38754EAE" w14:textId="77777777" w:rsidR="00570659" w:rsidRPr="009602C5" w:rsidRDefault="00570659" w:rsidP="00E63B1F">
            <w:pPr>
              <w:rPr>
                <w:rFonts w:ascii="Times New Roman" w:hAnsi="Times New Roman" w:cs="Times New Roman"/>
                <w:sz w:val="23"/>
                <w:szCs w:val="23"/>
                <w:lang w:val="hu-HU"/>
              </w:rPr>
            </w:pP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D5.</w:t>
            </w:r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3</w:t>
            </w:r>
          </w:p>
        </w:tc>
        <w:tc>
          <w:tcPr>
            <w:tcW w:w="0" w:type="auto"/>
            <w:hideMark/>
          </w:tcPr>
          <w:p w14:paraId="07582ED3" w14:textId="77777777" w:rsidR="00570659" w:rsidRPr="000733FA" w:rsidRDefault="00570659" w:rsidP="00E63B1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Research report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 xml:space="preserve"> on </w:t>
            </w:r>
            <w:r w:rsidRPr="00D90526">
              <w:rPr>
                <w:rFonts w:ascii="Times New Roman" w:hAnsi="Times New Roman" w:cs="Times New Roman"/>
                <w:sz w:val="23"/>
                <w:szCs w:val="23"/>
              </w:rPr>
              <w:t xml:space="preserve">a longitudinal and comparative analysis </w:t>
            </w:r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>of</w:t>
            </w:r>
            <w:r w:rsidRPr="00D90526">
              <w:rPr>
                <w:rFonts w:ascii="Times New Roman" w:hAnsi="Times New Roman" w:cs="Times New Roman"/>
                <w:sz w:val="23"/>
                <w:szCs w:val="23"/>
              </w:rPr>
              <w:t xml:space="preserve"> citizens’ perceptions of the enlargement process in socio-economic developments in post-accession periods using absolute and relative indicators (growth, decline, stagnation)</w:t>
            </w:r>
            <w:r>
              <w:rPr>
                <w:rFonts w:ascii="Times New Roman" w:hAnsi="Times New Roman" w:cs="Times New Roman"/>
                <w:sz w:val="23"/>
                <w:szCs w:val="23"/>
                <w:lang w:val="hu-HU"/>
              </w:rPr>
              <w:t xml:space="preserve"> </w:t>
            </w:r>
            <w:r w:rsidRPr="000733FA">
              <w:rPr>
                <w:rFonts w:ascii="Times New Roman" w:hAnsi="Times New Roman" w:cs="Times New Roman"/>
                <w:sz w:val="23"/>
                <w:szCs w:val="23"/>
              </w:rPr>
              <w:t>with a focus on Hungary, Poland, and Ukraine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, including actionable policy recommendations.</w:t>
            </w:r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(lead: SWPS, </w:t>
            </w:r>
            <w:proofErr w:type="gramStart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>partner:,</w:t>
            </w:r>
            <w:proofErr w:type="gramEnd"/>
            <w:r>
              <w:rPr>
                <w:rFonts w:ascii="Times" w:eastAsia="Times" w:hAnsi="Times" w:cs="Times"/>
                <w:color w:val="000000"/>
                <w:sz w:val="22"/>
                <w:szCs w:val="22"/>
              </w:rPr>
              <w:t xml:space="preserve"> CEU DI M25-32)</w:t>
            </w:r>
          </w:p>
        </w:tc>
      </w:tr>
    </w:tbl>
    <w:p w14:paraId="79B13590" w14:textId="77777777" w:rsidR="00570659" w:rsidRDefault="00570659" w:rsidP="000733FA">
      <w:pPr>
        <w:rPr>
          <w:rFonts w:ascii="Times New Roman" w:hAnsi="Times New Roman" w:cs="Times New Roman"/>
          <w:sz w:val="23"/>
          <w:szCs w:val="23"/>
        </w:rPr>
      </w:pPr>
    </w:p>
    <w:p w14:paraId="669BDE7B" w14:textId="14FD9282" w:rsidR="000733FA" w:rsidRPr="000733FA" w:rsidRDefault="000733FA" w:rsidP="000733FA">
      <w:pPr>
        <w:rPr>
          <w:rFonts w:ascii="Times New Roman" w:hAnsi="Times New Roman" w:cs="Times New Roman"/>
          <w:sz w:val="23"/>
          <w:szCs w:val="23"/>
        </w:rPr>
      </w:pPr>
    </w:p>
    <w:p w14:paraId="64002A71" w14:textId="77777777" w:rsidR="000935AC" w:rsidRPr="000733FA" w:rsidRDefault="000935AC">
      <w:pPr>
        <w:rPr>
          <w:rFonts w:ascii="Times New Roman" w:hAnsi="Times New Roman" w:cs="Times New Roman"/>
          <w:sz w:val="23"/>
          <w:szCs w:val="23"/>
        </w:rPr>
      </w:pPr>
    </w:p>
    <w:sectPr w:rsidR="000935AC" w:rsidRPr="0007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3FA"/>
    <w:rsid w:val="000733FA"/>
    <w:rsid w:val="000935AC"/>
    <w:rsid w:val="000B560E"/>
    <w:rsid w:val="000E4F2D"/>
    <w:rsid w:val="0017278C"/>
    <w:rsid w:val="002C51D9"/>
    <w:rsid w:val="002C5464"/>
    <w:rsid w:val="002E7D39"/>
    <w:rsid w:val="00303E43"/>
    <w:rsid w:val="00331AC7"/>
    <w:rsid w:val="003B3FE9"/>
    <w:rsid w:val="003B5AF3"/>
    <w:rsid w:val="00424733"/>
    <w:rsid w:val="00570659"/>
    <w:rsid w:val="00592F39"/>
    <w:rsid w:val="005E7A37"/>
    <w:rsid w:val="005F51B1"/>
    <w:rsid w:val="0063482F"/>
    <w:rsid w:val="0065608E"/>
    <w:rsid w:val="00671284"/>
    <w:rsid w:val="006753DE"/>
    <w:rsid w:val="006819BE"/>
    <w:rsid w:val="006A2A3B"/>
    <w:rsid w:val="006B5219"/>
    <w:rsid w:val="00717DDB"/>
    <w:rsid w:val="008954FC"/>
    <w:rsid w:val="009602C5"/>
    <w:rsid w:val="009705AC"/>
    <w:rsid w:val="009B4C8A"/>
    <w:rsid w:val="009C1B5D"/>
    <w:rsid w:val="00A415B9"/>
    <w:rsid w:val="00AA760B"/>
    <w:rsid w:val="00B330DB"/>
    <w:rsid w:val="00B8155C"/>
    <w:rsid w:val="00BE5F15"/>
    <w:rsid w:val="00C21BD4"/>
    <w:rsid w:val="00CF0433"/>
    <w:rsid w:val="00D90526"/>
    <w:rsid w:val="00DB106F"/>
    <w:rsid w:val="00DB5F4E"/>
    <w:rsid w:val="00DF2D64"/>
    <w:rsid w:val="00E11CE5"/>
    <w:rsid w:val="00E561AF"/>
    <w:rsid w:val="00E641F4"/>
    <w:rsid w:val="00F35B89"/>
    <w:rsid w:val="00F43A57"/>
    <w:rsid w:val="00F5014B"/>
    <w:rsid w:val="00FE405F"/>
    <w:rsid w:val="00FF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D5963"/>
  <w15:chartTrackingRefBased/>
  <w15:docId w15:val="{64E64A03-C96F-4248-8F86-A40292EE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07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7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7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7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7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733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733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733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733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733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733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733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733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733FA"/>
    <w:rPr>
      <w:rFonts w:eastAsiaTheme="majorEastAsia" w:cstheme="majorBidi"/>
      <w:color w:val="0F4761" w:themeColor="accent1" w:themeShade="BF"/>
      <w:lang w:val="en-GB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733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733FA"/>
    <w:rPr>
      <w:rFonts w:eastAsiaTheme="majorEastAsia" w:cstheme="majorBidi"/>
      <w:color w:val="595959" w:themeColor="text1" w:themeTint="A6"/>
      <w:lang w:val="en-GB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733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733FA"/>
    <w:rPr>
      <w:rFonts w:eastAsiaTheme="majorEastAsia" w:cstheme="majorBidi"/>
      <w:color w:val="272727" w:themeColor="text1" w:themeTint="D8"/>
      <w:lang w:val="en-GB"/>
    </w:rPr>
  </w:style>
  <w:style w:type="paragraph" w:styleId="Cm">
    <w:name w:val="Title"/>
    <w:basedOn w:val="Norml"/>
    <w:next w:val="Norml"/>
    <w:link w:val="CmChar"/>
    <w:uiPriority w:val="10"/>
    <w:qFormat/>
    <w:rsid w:val="00073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733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lcm">
    <w:name w:val="Subtitle"/>
    <w:basedOn w:val="Norml"/>
    <w:next w:val="Norml"/>
    <w:link w:val="AlcmChar"/>
    <w:uiPriority w:val="11"/>
    <w:qFormat/>
    <w:rsid w:val="000733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733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Idzet">
    <w:name w:val="Quote"/>
    <w:basedOn w:val="Norml"/>
    <w:next w:val="Norml"/>
    <w:link w:val="IdzetChar"/>
    <w:uiPriority w:val="29"/>
    <w:qFormat/>
    <w:rsid w:val="00073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733FA"/>
    <w:rPr>
      <w:i/>
      <w:iCs/>
      <w:color w:val="404040" w:themeColor="text1" w:themeTint="BF"/>
      <w:lang w:val="en-GB"/>
    </w:rPr>
  </w:style>
  <w:style w:type="paragraph" w:styleId="Listaszerbekezds">
    <w:name w:val="List Paragraph"/>
    <w:basedOn w:val="Norml"/>
    <w:uiPriority w:val="34"/>
    <w:qFormat/>
    <w:rsid w:val="000733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733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7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733FA"/>
    <w:rPr>
      <w:i/>
      <w:iCs/>
      <w:color w:val="0F4761" w:themeColor="accent1" w:themeShade="BF"/>
      <w:lang w:val="en-GB"/>
    </w:rPr>
  </w:style>
  <w:style w:type="character" w:styleId="Ershivatkozs">
    <w:name w:val="Intense Reference"/>
    <w:basedOn w:val="Bekezdsalapbettpusa"/>
    <w:uiPriority w:val="32"/>
    <w:qFormat/>
    <w:rsid w:val="000733F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0733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5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769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6761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00370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26947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4177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76825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70521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889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7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69459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8231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82042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3984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8238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11943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3449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637</Words>
  <Characters>4400</Characters>
  <Application>Microsoft Office Word</Application>
  <DocSecurity>0</DocSecurity>
  <Lines>36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Bosse, Giselle (POLITICS)</dc:creator>
  <cp:keywords/>
  <dc:description/>
  <cp:lastModifiedBy>Kerényi Ádám dr.</cp:lastModifiedBy>
  <cp:revision>2</cp:revision>
  <dcterms:created xsi:type="dcterms:W3CDTF">2025-07-11T11:26:00Z</dcterms:created>
  <dcterms:modified xsi:type="dcterms:W3CDTF">2025-07-11T11:26:00Z</dcterms:modified>
</cp:coreProperties>
</file>