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Underspending for salaries: This has occurred as a result of the PI's collaborative work (begun in February 2022) with an informal consortium of around 20 international scholars working on similar projects. As a result of this collaboration, it was possible for the PI efficiently to carry out all the research tasks involving the drafting and testing of the pilot survey and the preparation of the panel survey, as these tasks were realised through collaborative work with the other members of the consortium. The employment of a co-investigator and post-doc were thus considered unnecessary expenditures at this stage of the project, and better employed in the project at the stage when the results of the main surveys are to be consumed. As a result of significant cost savings made on the panel survey element of the research project, the PI intends to submit an application for extension of the project duration to December 2025 to encompass the 2025 presidential elections. Depending on the outcome of that application (to be made in April 2023) the PI will reorganise the involvement of the co-investigator and post-doc to fit the needs of the project.</w:t>
      </w:r>
    </w:p>
    <w:p w:rsidR="00000000" w:rsidDel="00000000" w:rsidP="00000000" w:rsidRDefault="00000000" w:rsidRPr="00000000" w14:paraId="00000002">
      <w:pPr>
        <w:rPr/>
      </w:pPr>
      <w:r w:rsidDel="00000000" w:rsidR="00000000" w:rsidRPr="00000000">
        <w:rPr>
          <w:rtl w:val="0"/>
        </w:rPr>
        <w:t xml:space="preserve">Underspending for other direct costs: The main element of the other direct costs is the commissioning of a three-wave panel survey. The first wave of this survey was originally intended to take place in 2022, with the other waves following over an 18-month period. However, this was postponed for two reasons. First, enquiries into retention rates for panel surveys indicated that stretching the survey over an 18-month period risked too high a rate of respondent dropout, which would compromise the quality of the final wave of the survey. As the logic of the project requires the third wave of the survey to occur after the October 2023 Polish parliamentary election, the date of the first wave was changed to February 2023. The second reason was a delay in the commissioning of the panel surveys, due to an initial tender for services that attracted low bids from companies that passed formal requirements but were not of sufficient methodological quality, requiring an annulment of the initial tender and its re-running with more stringent methodological criteria. The contract for the panel surveys was signed in March 2023, and the costs for the first two waves will thus be included in the report for 2023.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Indirect costs of OA: While listed under year 2021, these costs were planned to apply for the duration of the project as a whole, and will be exploited in the second half of the project, when publications are submitted to international journals (the first two submissions are expected in September 2023).</w:t>
      </w:r>
    </w:p>
    <w:p w:rsidR="00000000" w:rsidDel="00000000" w:rsidP="00000000" w:rsidRDefault="00000000" w:rsidRPr="00000000" w14:paraId="00000005">
      <w:pPr>
        <w:rPr>
          <w:rFonts w:ascii="Open Sans" w:cs="Open Sans" w:eastAsia="Open Sans" w:hAnsi="Open Sans"/>
          <w:color w:val="33333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EB Garamond" w:cs="EB Garamond" w:eastAsia="EB Garamond" w:hAnsi="EB Garamond"/>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34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b w:val="1"/>
      <w:sz w:val="24"/>
      <w:szCs w:val="24"/>
    </w:rPr>
  </w:style>
  <w:style w:type="paragraph" w:styleId="Heading2">
    <w:name w:val="heading 2"/>
    <w:basedOn w:val="Normal"/>
    <w:next w:val="Normal"/>
    <w:pPr>
      <w:keepNext w:val="1"/>
      <w:keepLines w:val="1"/>
      <w:pageBreakBefore w:val="0"/>
      <w:spacing w:after="120" w:before="360" w:line="276" w:lineRule="auto"/>
    </w:pPr>
    <w:rPr>
      <w:i w:val="1"/>
      <w:sz w:val="24"/>
      <w:szCs w:val="24"/>
    </w:rPr>
  </w:style>
  <w:style w:type="paragraph" w:styleId="Heading3">
    <w:name w:val="heading 3"/>
    <w:basedOn w:val="Normal"/>
    <w:next w:val="Normal"/>
    <w:pPr>
      <w:keepNext w:val="1"/>
      <w:keepLines w:val="1"/>
      <w:pageBreakBefore w:val="0"/>
      <w:spacing w:after="80" w:before="320" w:line="276" w:lineRule="auto"/>
    </w:pPr>
    <w:rPr>
      <w:i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76" w:lineRule="auto"/>
    </w:pPr>
    <w:rPr>
      <w:b w:val="1"/>
      <w:sz w:val="28"/>
      <w:szCs w:val="28"/>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