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6mte0rak6w4" w:id="0"/>
      <w:bookmarkEnd w:id="0"/>
      <w:r w:rsidDel="00000000" w:rsidR="00000000" w:rsidRPr="00000000">
        <w:rPr>
          <w:rtl w:val="0"/>
        </w:rPr>
        <w:t xml:space="preserve">Kontekst problemu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Pod koniec grudnia ogłosiliśmy przetarg na przeprowadzenie trzyfalowego badania panelowego w ramach grantu NCN Opus. Kiedy powstawał budżet grantu, poprosiłem Kantar o przedstawienie szacunkowych kosztów, wychodząc z założenia, że prawdopodobnie przedstawią one wycenę odzwierciedlającą warunki rynkowe panujące wśród wiarygodnych organizacji badawczych o międzynarodowej renomie.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Problem polega na tym, że niższe koszty związane z prowadzeniem badań CAWI oznaczają, że pojawiło się ostatnio kilka nowych firm, które są w stanie podważyć oferty dużych organizacji, oferując znacznie niższe koszty. Odpowiedzi na przetarg były następujące: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Mantle (Kantar ): 266 910,00 zł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badawczy Ariadna: 109 000,00 zł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 Research World Anna Sojka: 50 000,73 zł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Najniższy z tych oferentów, jak wynika z odpowiedzi udzielonej w przetargu, nie zrozumiał celu badania, ponieważ nie przedstawił żadnego wyjaśnienia, w jaki sposób będzie rekrutował i utrzymywał respondentów przez trzy fale badania. Cena jest również tak niska, że sugeruje praktyki dumpingowe.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Oferta Ariadny była lepiej uzasadniona, ale poza moimi obawami dotyczącymi różnicy w kosztach (co również sugeruje dumping), martwię się również o jakość panelu i jego przydatność do badań politologicznych. Ariadna jest często wykorzystywana przez psychologów, którzy w mniejszym stopniu potrzebują prób reprezentatywnych dla całego kraju. Obawiam się o potencjalny wpływ na jakość i możliwość publikacji prac prowadzonych na próbach, które nie są odpowiednio reprezentatywne dla polskiej populacji.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yu3ah94ale1g" w:id="1"/>
      <w:bookmarkEnd w:id="1"/>
      <w:r w:rsidDel="00000000" w:rsidR="00000000" w:rsidRPr="00000000">
        <w:rPr>
          <w:rtl w:val="0"/>
        </w:rPr>
        <w:t xml:space="preserve">Najważniejsze wątpliwości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Mam więc dwie podstawowe wątpliwości. Moja pierwsza wątpliwość dotyczy tego, że firmy, które angażują się w "wyścig do dna" z cenami, będą również obniżać jakość, a także tego, że - w przeciwieństwie do firm o ustalonej pozycji, takich jak Kantar - nie mogę mieć pewności, że będą one w stanie utrzymać swoją zdolność do przeprowadzania badań panelowych (które wymagają zachowania znacznej liczby respondentów) w trakcie trwania badania. Naraża mnie to na ryzyko zmarnowania pieniędzy na badania, które nie spełnią celów grantu.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Moja druga obawa dotyczy tego, jak NCN zareaguje w przypadku znacznej rozbieżności między początkowym budżetem a wybranym dostawcą. O ile wybór nieco tańszego dostawcy można przedstawić jako racjonalne wykorzystanie zasobów, o tyle zbyt duża rozbieżność sugeruje, że budżet został źle zaplanowany.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es1ek6kxj1s0" w:id="2"/>
      <w:bookmarkEnd w:id="2"/>
      <w:r w:rsidDel="00000000" w:rsidR="00000000" w:rsidRPr="00000000">
        <w:rPr>
          <w:rtl w:val="0"/>
        </w:rPr>
        <w:t xml:space="preserve">Wyzwanie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Kluczowym problemem jest więc znalezienie kompromisu między koniecznością wykazania, że środki budżetowe zostały wykorzystane w sposób racjonalny, a wykluczeniem ofert firm, co do których istnieją uzasadnione wątpliwości, czy będą w stanie dostarczyć dane o jakości wymaganej do realizacji celów badania.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EB Garamond" w:cs="EB Garamond" w:eastAsia="EB Garamond" w:hAnsi="EB Garamon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