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7E4" w:rsidRPr="00AE5255" w:rsidRDefault="00AE5255">
      <w:pPr>
        <w:rPr>
          <w:b/>
        </w:rPr>
      </w:pPr>
      <w:r w:rsidRPr="00AE5255">
        <w:rPr>
          <w:b/>
        </w:rPr>
        <w:t>Empirical component</w:t>
      </w:r>
    </w:p>
    <w:p w:rsidR="00FB2BE5" w:rsidRDefault="00FB2BE5">
      <w:r>
        <w:t>The empirical part of our project will consist of two interrelated surveys, and will have two research goal</w:t>
      </w:r>
      <w:r w:rsidR="0028127C">
        <w:t>s</w:t>
      </w:r>
      <w:r>
        <w:t xml:space="preserve">. The two surveys will be: CAPI on random address sample of N&gt;1700 and CAWI on a quota internet panel (N=approx. 600). The two goals will be: 1) substantive measurement of post-electoral political attitudes  consistent with CSES framework and; 2) methodological test of validity of internet panel surveys for measurement of political attitudes. </w:t>
      </w:r>
    </w:p>
    <w:p w:rsidR="00FB2BE5" w:rsidRDefault="00FB2BE5">
      <w:r>
        <w:t xml:space="preserve">Goal 1, i.e. post-electoral PGSW/CSES study of political attitudes, is consistent with the overall research goals our project. We will include blocks of questions </w:t>
      </w:r>
      <w:r w:rsidR="00E95D98">
        <w:t xml:space="preserve">serving the comparative purpose of CSES, as well  as country-specific questions related to the research agenda: significance of social embeddedness of citizens for political behaviour, information ecosystems and increasing fragmentation of individual-level political identities.  The CAPI methodology ensures maximum level of data quality, random sampling enables us to extrapolate results to the </w:t>
      </w:r>
      <w:r w:rsidR="00AE5255">
        <w:t xml:space="preserve">general </w:t>
      </w:r>
      <w:r w:rsidR="00E95D98">
        <w:t xml:space="preserve">population, as well as compare </w:t>
      </w:r>
      <w:r w:rsidR="0028127C">
        <w:t xml:space="preserve">them </w:t>
      </w:r>
      <w:bookmarkStart w:id="0" w:name="_GoBack"/>
      <w:bookmarkEnd w:id="0"/>
      <w:r w:rsidR="00E95D98">
        <w:t xml:space="preserve">with other national surveys, and large sample size allows us to be precise in conclusions by limiting the sampling error. We will outsource the survey </w:t>
      </w:r>
      <w:r w:rsidR="00AE5255">
        <w:t xml:space="preserve">to an experienced survey institute  </w:t>
      </w:r>
      <w:r w:rsidR="00E95D98">
        <w:t xml:space="preserve">taking into account experience in fielding mass surveys on complex samples, in particular achieving  high response rate. </w:t>
      </w:r>
    </w:p>
    <w:p w:rsidR="003E0445" w:rsidRDefault="00AE5255">
      <w:r>
        <w:t>Goal 2</w:t>
      </w:r>
      <w:r w:rsidR="00902526">
        <w:t xml:space="preserve">, i.e. survey conducted on CAWI panel (quota sampling) will be methodological. </w:t>
      </w:r>
      <w:r w:rsidR="003E0445">
        <w:t>Classical methodology stipulates that optimal results are</w:t>
      </w:r>
      <w:r w:rsidR="00902526">
        <w:t xml:space="preserve"> </w:t>
      </w:r>
      <w:r w:rsidR="003E0445">
        <w:t>obtained on random samples with full response rate, conducted via face-to-face interviewing. These conditions are, for various reasons, increasingly impossible to obtain. Various alternative routes are explored, such as behaviour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w:t>
      </w:r>
    </w:p>
    <w:p w:rsidR="00AE5255" w:rsidRDefault="003E0445">
      <w:r>
        <w:t>Goal 2 is to develop a set of corrective tools to obtain results valid for  general population from</w:t>
      </w:r>
      <w:r w:rsidR="0028127C">
        <w:t xml:space="preserve"> a</w:t>
      </w:r>
      <w:r>
        <w:t xml:space="preserve"> quota internet panel. The CAWI survey will contain analogous questions to CAPI (goal 1) survey. CAPI will be a reference point against which the CAWI survey will be measured in order to establish parameters in which the two measurements diverge. Based on these</w:t>
      </w:r>
      <w:r w:rsidR="0028127C">
        <w:t xml:space="preserve"> parameters, statistical corrections will be developed to adjust (weight) the results. These tools can be used for further research using analogous CAWI methodology.  </w:t>
      </w:r>
      <w:r>
        <w:t xml:space="preserve"> </w:t>
      </w:r>
    </w:p>
    <w:sectPr w:rsidR="00AE52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BE5"/>
    <w:rsid w:val="0011234F"/>
    <w:rsid w:val="0028127C"/>
    <w:rsid w:val="003E0445"/>
    <w:rsid w:val="003E21DE"/>
    <w:rsid w:val="00902526"/>
    <w:rsid w:val="00AE5255"/>
    <w:rsid w:val="00E95D98"/>
    <w:rsid w:val="00FB2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393</Words>
  <Characters>2244</Characters>
  <Application>Microsoft Office Word</Application>
  <DocSecurity>0</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2018-11-14T11:11:00Z</cp:lastPrinted>
  <dcterms:created xsi:type="dcterms:W3CDTF">2018-11-14T09:56:00Z</dcterms:created>
  <dcterms:modified xsi:type="dcterms:W3CDTF">2018-11-14T11:14:00Z</dcterms:modified>
</cp:coreProperties>
</file>