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694CF"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r w:rsidRPr="00B9494F">
        <w:rPr>
          <w:rFonts w:ascii="Times New Roman" w:hAnsi="Times New Roman" w:cs="Times New Roman"/>
          <w:color w:val="000000" w:themeColor="text1"/>
          <w:u w:val="single"/>
        </w:rPr>
        <w:t>1. Research project objectives</w:t>
      </w:r>
    </w:p>
    <w:p w14:paraId="7217CC05"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rPr>
        <w:t xml:space="preserve">Since its launch in 1997, the key objective of the Polish National Election Study (PNES; in Polish: </w:t>
      </w:r>
      <w:r w:rsidRPr="00B9494F">
        <w:rPr>
          <w:rFonts w:ascii="Times New Roman" w:hAnsi="Times New Roman" w:cs="Times New Roman"/>
          <w:i/>
          <w:color w:val="000000" w:themeColor="text1"/>
        </w:rPr>
        <w:t>Polskie Generalne Studium Wyborcze, PGSW</w:t>
      </w:r>
      <w:r w:rsidRPr="00B9494F">
        <w:rPr>
          <w:rFonts w:ascii="Times New Roman" w:hAnsi="Times New Roman" w:cs="Times New Roman"/>
          <w:color w:val="000000" w:themeColor="text1"/>
        </w:rPr>
        <w:t>) has been to cover the most significant electoral event in Polish politics, the election to the two chambers of the National Assembly, the Sejm and the Senate</w:t>
      </w:r>
      <w:r w:rsidRPr="00B9494F">
        <w:rPr>
          <w:rStyle w:val="FootnoteReference"/>
          <w:rFonts w:ascii="Times New Roman" w:hAnsi="Times New Roman" w:cs="Times New Roman"/>
          <w:color w:val="000000" w:themeColor="text1"/>
        </w:rPr>
        <w:footnoteReference w:id="1"/>
      </w:r>
      <w:r w:rsidRPr="00B9494F">
        <w:rPr>
          <w:rFonts w:ascii="Times New Roman" w:hAnsi="Times New Roman" w:cs="Times New Roman"/>
          <w:color w:val="000000" w:themeColor="text1"/>
        </w:rPr>
        <w:t xml:space="preserve">. The PNES follows the logic of national election studies worldwide, seeking to clarify the aggregate result of an election and to explain the individual choices of citizens regarding turnout (whether to participate in an election or not), and vote choice (for whom to cast a vote). </w:t>
      </w:r>
    </w:p>
    <w:p w14:paraId="15FAE1B7"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project has two goals: 1) the substantive measurement of post-electoral political attitudes consistent with the CSES framework and; 2) methodological test of validity of internet panel surveys for measurement of political attitudes. Goal 1, i.e. the post-electoral PGSW/CSES study of political attitudes, is the paramount substantive objective of our project. We will measure attitudes serving the comparative purpose of CSES, as well as country-specific questions related to the research agenda: significance of social embeddedness of citizens for political behaviour, information ecosystems and increasing fragmentation of individual-level political identities.  Goal 2 is methodological. Classical methodology stipulates that optimal results are obtained on random samples with full response rate, conducted via face-to-face interviewing. These conditions are, for various reasons, increasingly difficult to obtain. Various alternative solutions have been explored, such as behaviour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 Our aim is to develop a set of corrective tools to obtain results valid for making inferences about the general population from a quota internet panel. </w:t>
      </w:r>
    </w:p>
    <w:p w14:paraId="54B1F3B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Specifically, the major research questions the PNES has sought to answer in the past and continues to in its 2019 wave, such as: (1) what mode and quality of political representation and accountability is experienced by particular groups of citizens (Holmberg 1989; Mansbridge 2003; Eulau &amp; Wahlke 1978; Achen 1979) (2) to what extent traditional models of cleavage politics explain the behavior of voters, compared with  novel forms of social interaction such as private networks and more contingent and fluid forms of social identity (Lipset &amp; Rokkan 1967; Bartolini &amp; Mair 1990; Knutsen &amp; Scarbrough 1995; Toka 1998; Markowski &amp; Stanley 2016; Rossteutscher &amp; Stegmueller 2014; Zuckermann 2005) (3) to what extent normative visions and evaluations of specific aspects of democracy influence citizens’ political preferences and electoral behavior (Ferrin &amp; Kriesi 2016; Goodin 2008; Hibbing &amp; Theiss-Morse 2003) (4) the role of political knowledge, media exposure and political efficacy in contributing to the formation of citizens’ political consciousness and choices (Althaus 2003; Fraile 2013; Luskin 1990); (5) which issue stances or specific policy proposals and which broad ideological leanings influence citizens’  political preferences and voting behavior; (6) the impact of retrospective and prospective egotropic and sociotropic evaluations of the economic situation determine citizens’ political preferences (Lewis-Beck &amp; Paldam 2000; Kotnarowski, Markowski 2014); (7) the precise role of party identification in influencing the vote, and its location in the chain of causality (is party identification, as in the US case, the “unmoved mover” (Campbell et al 1960; Thomassen 1976; Fiorina 1981; Holmberg 2007),  or are political preferences in Poland dependent on vote choice itself?); (8) exactly which configurations of “cross-pressures” have a decisive impact on citizens’ political preferences and voting behavior. </w:t>
      </w:r>
    </w:p>
    <w:p w14:paraId="49E04D5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These research questions (RQs) are presented here in their simplest form, approximately in accordance with the successive components of the Michigan “funnel of causality”. Additional innovative elements of our model which depart from the Michigan model are discussed in the next section.</w:t>
      </w:r>
    </w:p>
    <w:p w14:paraId="3D04A900"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rPr>
        <w:t>As the PNES project has been - and hopefully will continue to be - financed from public funds, it exists to serve the public good, providing Poles with reliable information about the party-political preferences, attitudes and behavior of their fellow citizens in comparative perspective. A well-functioning democracy depends on an informed population, and the PNES contributes to the stock of public knowledge about the linkage between the “supply side” of politics (the ideological and programmatic offerings of parties) and the “demand side” (the preferences, priorities and behavior of citizens). For citizens’ own choices to have meaning, they must be made within a context of understanding what their compatriots think and feel about political issues, and how they act accordingly.</w:t>
      </w:r>
    </w:p>
    <w:p w14:paraId="76D43206"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In light of this requirement, our task is to ensure that the PNES is not only fit for our own specific research problematic, but also fits within the broadly accepted canon of electoral studies while attending to contemporary </w:t>
      </w:r>
      <w:r w:rsidRPr="00B9494F">
        <w:rPr>
          <w:rFonts w:ascii="Times New Roman" w:hAnsi="Times New Roman" w:cs="Times New Roman"/>
          <w:color w:val="000000" w:themeColor="text1"/>
          <w:lang w:val="en-GB"/>
        </w:rPr>
        <w:lastRenderedPageBreak/>
        <w:t>debates relevant to electoral studies. First, this requires us to ensure that the project is well conceptualised, incorporating both the historical and institutional context in which it occurs, while also attending appropriately to the immediate dynamics of the electoral situation, in particular by ensuring an adequate distinction between the pre-electoral and post-electoral contexts, which operate according to distinct logics (Franklin, Wlezien 2002).</w:t>
      </w:r>
    </w:p>
    <w:p w14:paraId="459005E4"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Second, we aim to investigate one of the key ontological problems that still remains unresolved in the electoral studies literature: while we know that voting is a choice, is it a choice like any other kind of choice? We incline to the interpretation that it is not, since the effects of our decisions in elections depend also on the decisions of other citizens. Rather than seeing elections as a “market” in which what we get out of elections depends on what we put in, we employ the metaphor of a stock exchange, in which we invest time and energy in processes and decisions whose outcome also depends on the decisions of others.</w:t>
      </w:r>
    </w:p>
    <w:p w14:paraId="413EE374"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Third, we aim to build a parsimonious model which explains electoral turnout and vote choice. By ‘parsimonious’, we mean a model which explains the maximum possible variance in our dependent variables (turnout and vote choice) with the minimum necessary independent variables. The challenge faced by those attempting to develop such models is to (1) avoid tautological explanations, (2) avoid the collinearity of independent variables, (3) operationalise the context of the election in appropriate fashion, (4) make appropriate choices regarding the likely causal factors at work in determining the relationships between independent and dependent variables. </w:t>
      </w:r>
    </w:p>
    <w:p w14:paraId="24A8BB00"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research design is longitudinal and cross-nationally comparative. Our realization of the latter aim is strengthened by the inclusion of successive modules of the </w:t>
      </w:r>
      <w:r w:rsidRPr="00B9494F">
        <w:rPr>
          <w:rFonts w:ascii="Times New Roman" w:hAnsi="Times New Roman" w:cs="Times New Roman"/>
          <w:i/>
          <w:color w:val="000000" w:themeColor="text1"/>
        </w:rPr>
        <w:t xml:space="preserve">Comparative Study of Electoral Systems </w:t>
      </w:r>
      <w:r w:rsidRPr="00B9494F">
        <w:rPr>
          <w:rFonts w:ascii="Times New Roman" w:hAnsi="Times New Roman" w:cs="Times New Roman"/>
          <w:color w:val="000000" w:themeColor="text1"/>
        </w:rPr>
        <w:t>(CSES), the major cross-national post-electoral survey available to scholars of political science</w:t>
      </w:r>
      <w:r w:rsidRPr="00B9494F">
        <w:rPr>
          <w:rFonts w:ascii="Times New Roman" w:hAnsi="Times New Roman" w:cs="Times New Roman"/>
          <w:i/>
          <w:color w:val="000000" w:themeColor="text1"/>
        </w:rPr>
        <w:t xml:space="preserve">. </w:t>
      </w:r>
      <w:r w:rsidRPr="00B9494F">
        <w:rPr>
          <w:rFonts w:ascii="Times New Roman" w:hAnsi="Times New Roman" w:cs="Times New Roman"/>
          <w:color w:val="000000" w:themeColor="text1"/>
        </w:rPr>
        <w:t xml:space="preserve"> PNES remains the only survey in Central and Eastern Europe that has included all four CSES modules to date. Moreover, the PNES is a multi-faceted research enterprise that has featured several tools: apart from a representative public opinion survey of the adult population of Poland, it has also incorporated components analyzing the attitudes, preferences, opinions and socio-demographics of Polish parliamentarians, the nature and impact of media campaigns, and the content of party manifestos.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behavior of Polish voters. </w:t>
      </w:r>
    </w:p>
    <w:p w14:paraId="781AAB04"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Each successive wave of the PNES has seen both continuity and change. The constant presence of key elements of the survey makes it possible to observe changes over time, while the inclusion of innovative elements ensures the PNES is responsive to the specific character of the context in which particular elections take place.  The PNES 2019 survey will maintain this combination of continuity and change. At the same time, it will also incorporate novel elements not yet seen in previous iterations. While maintaining the PNES tradition, we will also move towards a new approach to the study of electoral politics in Poland. This is informed by three key developments. First, since the 2015 election, the dynamic of Polish politics has changed significantly, with democratic backsliding and executive capture of independent institutions leading to qualitative differences in the character of Polish democracy in comparison with the situation in the preceding election. Second, new and influential theories of electoral behaviour require us to reconsider old assumptions about the relationship between factors which influence electoral outcomes (Achen &amp; Bartels 2016; Blumenstiel 2014). Third, the increasing difficulties in using traditional face-to-face survey methods to obtain representative, reliable and cost-effective samples of national populations requires us to explore new ways of collecting data that might contribute to the future sustainability of the PNES and provide a model for other surveys to follow.</w:t>
      </w:r>
    </w:p>
    <w:p w14:paraId="321FA540"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r w:rsidRPr="00B9494F">
        <w:rPr>
          <w:rFonts w:ascii="Times New Roman" w:hAnsi="Times New Roman" w:cs="Times New Roman"/>
          <w:color w:val="000000" w:themeColor="text1"/>
          <w:u w:val="single"/>
        </w:rPr>
        <w:t>2. Significance of the project</w:t>
      </w:r>
    </w:p>
    <w:p w14:paraId="03135834"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Aside from being the leading post-electoral survey in Poland, the PNES is a well-established and internationally recognised project that contributes to the comparative stock of knowledge about electoral behaviour, in particular through its incorporation of each iteration of the CSES module. The PNES is distinguished for its temporal coverage, which runs unbroken from the parliamentary elections of 1997. In 2007, the Principal Investigator of the PNES was awarded the Stefan Nowak Prize – one of the two most prestigious prizes in Polish social sciences -  in recognition of his achievements in setting up and maintaining the PNES for details see his CV). PNES data have been used in dozens of peer-reviewed articles and monograph chapters. both in Polish and in numerous foreign languages, and the results of the PNES have been presented in extensive fashion in the major Polish political and sociological science journals </w:t>
      </w:r>
      <w:r w:rsidRPr="00B9494F">
        <w:rPr>
          <w:rFonts w:ascii="Times New Roman" w:hAnsi="Times New Roman" w:cs="Times New Roman"/>
          <w:i/>
          <w:color w:val="000000" w:themeColor="text1"/>
        </w:rPr>
        <w:t xml:space="preserve">Studia Polityczne </w:t>
      </w:r>
      <w:r w:rsidRPr="00B9494F">
        <w:rPr>
          <w:rFonts w:ascii="Times New Roman" w:hAnsi="Times New Roman" w:cs="Times New Roman"/>
          <w:color w:val="000000" w:themeColor="text1"/>
        </w:rPr>
        <w:t xml:space="preserve">and </w:t>
      </w:r>
      <w:r w:rsidRPr="00B9494F">
        <w:rPr>
          <w:rFonts w:ascii="Times New Roman" w:hAnsi="Times New Roman" w:cs="Times New Roman"/>
          <w:i/>
          <w:color w:val="000000" w:themeColor="text1"/>
        </w:rPr>
        <w:t>Studia Socjologiczne.</w:t>
      </w:r>
      <w:r w:rsidRPr="00B9494F">
        <w:rPr>
          <w:rFonts w:ascii="Times New Roman" w:hAnsi="Times New Roman" w:cs="Times New Roman"/>
          <w:color w:val="000000" w:themeColor="text1"/>
        </w:rPr>
        <w:t xml:space="preserve"> </w:t>
      </w:r>
    </w:p>
    <w:p w14:paraId="182B6F1A"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PNES covers the broadly conceived core concerns of electoral analysis (van der Eijk 2002), that is, participation in elections, vote choice, party identification, attitudes towards specific parties and politicians, broad ideological leanings, and specific issue stances, and internal and external political efficacy, to name only the most important variables.  This core component is repeated in each iteration of the survey using the same design and </w:t>
      </w:r>
      <w:r w:rsidRPr="00B9494F">
        <w:rPr>
          <w:rFonts w:ascii="Times New Roman" w:hAnsi="Times New Roman" w:cs="Times New Roman"/>
          <w:color w:val="000000" w:themeColor="text1"/>
        </w:rPr>
        <w:lastRenderedPageBreak/>
        <w:t>wording, making it possible to identify and compare changes in citizens’ attitudes and preferences. The non-core element covers different domains depending on more proximate and context-relevant concerns, such as attitudes to the European Union (Markowski, Tucker 2005; 2010; McManus, Miller, Markowski, Wasilewski 2003) corruption (MacManus, Miller, Markowski, Wasilewski 2004), political clientelism and economic voting (Kotnarowski, Markowski 2014), populism (Jasiewicz 2008; Stanley 2018) and party system development (Markowski 2006; 2008; 2018; Kwiatkowska et al. 2016, Stanley 2014, Żerkowska et al. 2016).</w:t>
      </w:r>
    </w:p>
    <w:p w14:paraId="5551F25E"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Thematically, the priority for this project is the context of “backsliding”: the gradual reversion into authoritarianism of several countries – among them, Poland - previously considered to be consolidated democracies, and the upsurge of populist parties in stable Western democracies. </w:t>
      </w:r>
    </w:p>
    <w:p w14:paraId="43CBDA4A"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Empirically, the PNES 2019 will incorporate two innovative changes in its design, informed by important theoretical reconsiderations. The first of these is informed by Achen and Bartels’s (2016) injunction that greater emphasis should be placed on the nature of citizens’ social identities and their newly-created bonds in informal networks. This work has attracted substantial attention and has been subjected to empirical testing in (primarily) the European context (Dassonneville &amp; Wass 2017; Langsaether et al 2017; Patkos 2017). Our goal is to test the relative impact of social identities and bonds as theorized by Achen and Bartels compared with that of cleavages, retrospective accountability, quality of policy representation and other traditional explanatory factors in the determination of vote choice. Our second innovation is to embrace the long-neglected methodological insistence on the “heterogeneity assumption” in the study of electoral behavior (cf Rivers 1988). Fundamental changes, such as the decline of cleavages, the weakening of party identification, the increasing instability of voters’ preferences, and decreasingly levels of ideological and party loyalty among voters have led to significant shifts in the dominant paradigm that governs the study of elections, public opinion and vote choice. This has consequences for the continuing applicability of theories and models of these phenomena that assume a homogeneity of explanatory factors and a homogeneity of outcome. While existing theories and models may still work in some cases, as general explanations they are inadequate to the task of explaining contemporary electoral behavior in all its variety.  Citizens, the groups they organize themselves into, and the individual and collective political attachments they make are much more heterogeneous – both in space and across time – than has hitherto been assumed, and our theories and approaches to the research of electoral behavior should reflect this. </w:t>
      </w:r>
    </w:p>
    <w:p w14:paraId="7E821010"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 In other words, In the PNES 2019 we depart from the “homogeneity assumption” which leads to the pursuit of general models of the vote function and a common approach to the identification of predictors of voting decisions, and the postulation of a common causal explanation of vote choices electorate. Rather than assuming that voters assign similar importance to the same sets of considerations when arriving at their electoral decisions, we assert that studies of electoral behavior should seek to account for different causal factors and paths in arriving at reliable explanations of political behavior. </w:t>
      </w:r>
    </w:p>
    <w:p w14:paraId="5EAF2514"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These innovations are in keeping with the governing spirit of the PNES, which since its inauguration has been intended to serve the broader public interest as a collaborative and collective project which is open to new theoretical contributions and the testing of diverse theories of electoral behaviour. As a consequence, the project has always been rich in opportunities for the testing of competing theories and hypotheses. Nevertheless, it should be emphasized that the Michigan funnel of causality has remained at the core of the PNES, consisting of measures of socio-economic status, parental characteristics and domestic circumstances, party identification, issue stances and policy preferences, ideological leanings and cross-pressures. At the same time, a significant element of the empirical design has been designed with the purpose of enabling the testing of alternative predictions, such as those derived from theories of political representation, political accountability and responsiveness, or economic voting. This theoretically-informed empirical richness makes it possible to analyse many facets of the </w:t>
      </w:r>
      <w:r w:rsidRPr="00B9494F">
        <w:rPr>
          <w:rFonts w:ascii="Times New Roman" w:hAnsi="Times New Roman" w:cs="Times New Roman"/>
          <w:i/>
          <w:color w:val="000000" w:themeColor="text1"/>
        </w:rPr>
        <w:t>folk theory of democracy</w:t>
      </w:r>
      <w:r w:rsidRPr="00B9494F">
        <w:rPr>
          <w:rFonts w:ascii="Times New Roman" w:hAnsi="Times New Roman" w:cs="Times New Roman"/>
          <w:color w:val="000000" w:themeColor="text1"/>
        </w:rPr>
        <w:t>, an approach whose governing assumption is that the actions of politicians, in the shape of policy decisions, is determined mainly with reference to the preferences of citizens (Pitkin 1967; Manin 2002; Mansbridge 2003). Empirical studies that proceed from the folk theory assumptions can take the form of simple proximity analyses (Achen 1979), directional or proximity-based analyses (Rabinowitz, MacDonald 1989), spatial models of party competition (Enelow, Hinich 1984; Robertson 1976), or focus on more demanding issues of political representation such as responsiveness (Converse and Pierce 1986; Kitschelt et al 1999.; Roberts 2010). The folk theory of democracy comes closest to the vision of electoral democracy embodied in the Lincolnian dictum “of the people, by the people and for the people”, according to which the purpose of elections is to ensure that there obtains a persistent responsiveness of governing elites to the preferences of citizens.</w:t>
      </w:r>
    </w:p>
    <w:p w14:paraId="002E666F"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design of the PNES makes it possible to evaluate the applicability of theories of retrospective accountability, according to which citizens’ electoral behaviour can primarily be explained by their assessment of the deeds and performance of politicians. This is an approach associated mainly with Fiorina’s (1981) oft-cited work, although its wider roots can be traced back to propositions made by Key (1966) and Kramer (1971). This approach is rooted in the assumption that even if average voters know very little about the complex details of policy formation and implementation, they can nevertheless exert effective control over their leaders simply by assessing the </w:t>
      </w:r>
      <w:r w:rsidRPr="00B9494F">
        <w:rPr>
          <w:rFonts w:ascii="Times New Roman" w:hAnsi="Times New Roman" w:cs="Times New Roman"/>
          <w:color w:val="000000" w:themeColor="text1"/>
        </w:rPr>
        <w:lastRenderedPageBreak/>
        <w:t>performance of incumbents, penalising ineffective politicians through their removal from office, and rewarding successful ones through the prolongation of their mandates. This approach assumes that citizens possess high levels of rationality, calculation, and the ability to deliberate on alternatives.</w:t>
      </w:r>
    </w:p>
    <w:p w14:paraId="0F1C4E99"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In their recent monograph “Democracy for Realists”, Achen and Bartels (2016) argue that most citizens, even the most sophisticated voters, do not make political choices in accordance with their positions on policy issues; as a consequence, politicians experience significant difficulties in the adequate interpretation of voters’ preferences. Moreover, voters’ also have limited capacity to ‘correctly’ evaluate the accomplishments of governments, struggle to accurately attribute responsibility to political elites for the effects of policies on their own circumstances and on society more broadly, frequently punishing incumbents for phenomena that are unrelated to decisions made by government, and more likely to be the product of factors over which political elites have no direct control In such circumstances, political accountability is dependent on emotion and heavily influenced by a myopic focus on recent socio-economic developments, such as the few months preceding an election, rather than a more expansive view of the term in office as a whole. </w:t>
      </w:r>
    </w:p>
    <w:p w14:paraId="4C0005BF"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As numerous recent studies of European politics suggest </w:t>
      </w:r>
      <w:r w:rsidRPr="00B9494F">
        <w:rPr>
          <w:rFonts w:ascii="Times New Roman" w:hAnsi="Times New Roman" w:cs="Times New Roman"/>
          <w:color w:val="000000" w:themeColor="text1"/>
          <w:highlight w:val="yellow"/>
        </w:rPr>
        <w:t>(XXX),</w:t>
      </w:r>
      <w:r w:rsidRPr="00B9494F">
        <w:rPr>
          <w:rFonts w:ascii="Times New Roman" w:hAnsi="Times New Roman" w:cs="Times New Roman"/>
          <w:color w:val="000000" w:themeColor="text1"/>
        </w:rPr>
        <w:t xml:space="preserve"> it is necessary to remedy the deficiencies of the folk theory of democracy by incorporating into our explanatory models knowledge from political psychology and social psychology pertaining to such phenomena as group identities, social bonds and reference groups. This requires that we bring social identities and social interactions to the center of our analysis and from regarding the putatively rational individual preferences of citizens as the main factors which explain their electoral behaviour. The two preceding PNES waves (2011 and 2015)</w:t>
      </w:r>
      <w:r w:rsidRPr="00B9494F" w:rsidDel="000C410A">
        <w:rPr>
          <w:rFonts w:ascii="Times New Roman" w:hAnsi="Times New Roman" w:cs="Times New Roman"/>
          <w:color w:val="000000" w:themeColor="text1"/>
        </w:rPr>
        <w:t xml:space="preserve"> </w:t>
      </w:r>
      <w:r w:rsidRPr="00B9494F">
        <w:rPr>
          <w:rFonts w:ascii="Times New Roman" w:hAnsi="Times New Roman" w:cs="Times New Roman"/>
          <w:color w:val="000000" w:themeColor="text1"/>
        </w:rPr>
        <w:t xml:space="preserve">already incorporated attention to the social interactions of close circles of family and friends, the political knowledge generated within, and the impact of these factors on political attitudes, preferences, and ultimately participation and vote choice (Markowski 2017; Tworzecki, Markowski 2014; </w:t>
      </w:r>
      <w:r w:rsidRPr="00B9494F">
        <w:rPr>
          <w:rFonts w:ascii="Times New Roman" w:hAnsi="Times New Roman" w:cs="Times New Roman" w:hint="eastAsia"/>
          <w:color w:val="000000" w:themeColor="text1"/>
        </w:rPr>
        <w:t>Ż</w:t>
      </w:r>
      <w:r w:rsidRPr="00B9494F">
        <w:rPr>
          <w:rFonts w:ascii="Times New Roman" w:hAnsi="Times New Roman" w:cs="Times New Roman"/>
          <w:color w:val="000000" w:themeColor="text1"/>
        </w:rPr>
        <w:t>erkowska-Balas, Lyubashenko, Kwiatkowska 2016).</w:t>
      </w:r>
    </w:p>
    <w:p w14:paraId="37E94124"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Achen and Bartels’s critique of the folk theory of democracy two-fold. First, they claim that voters primarily choose parties not on the basis of issue stances or policy preferences but on the basis of bonds, loyalties and a sense of identification with a party or candidate. If true, this phenomenon contradicts the idealised vision of politically sophisticated, reasoning voters (Luskin 1987) whose making vote choices are based on issue preferences or policy opinions. Second, they argue that in relying on cues and heuristic shortcuts such as partisanship, voters’ biases lead them to make irrational voting decisions. The notion that cognitive shortcuts are of low utility for voters in electing parties which will carry out their preferences and operate in their best interests is in direct conflict with an established strain of political science research (Popkin 1991; Lau and Redlawsk 2006).</w:t>
      </w:r>
    </w:p>
    <w:p w14:paraId="0A74DC72"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Achen and Bartels’ ideas can easily be transformed into empirically testable hypotheses. However, the concepts their theoretical model employs require careful conceptualization, in particular the key concept of social identity, which embraces ethnic, occupational, religious and myriad other groups. As Schwennicke (2017: 150 ff) has observed, the very process of identity construction requires more elaboration. We share this concern, and the 2019 PNES project will be designed to allow us to test the impact of the size of social groups, their nature (“offline” or “online”?; “inherited” or chosen”?) as well as to investigate the problem of multiple, conflicting social identities? In operationalising social identities for the purpose of this survey, particular emphasis will be placed on differentiating “shallow” group belonging (often purely formal in character) from the deep emotional linkage and normative identification with an important reference group. </w:t>
      </w:r>
    </w:p>
    <w:p w14:paraId="4039B723"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If we follow the arguments of Achen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“[e]ven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1339CA0"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picture of the connections between social identities, partisanship, policy preferences and the vote choice that Achen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Achen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key to Achen </w:t>
      </w:r>
      <w:r w:rsidRPr="00B9494F">
        <w:rPr>
          <w:rFonts w:ascii="Times New Roman" w:hAnsi="Times New Roman" w:cs="Times New Roman"/>
          <w:color w:val="000000" w:themeColor="text1"/>
        </w:rPr>
        <w:lastRenderedPageBreak/>
        <w:t xml:space="preserve">and Bartels’ criticism of “populist” views of democracy is their claim that policy preferences do not inform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340C509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Partisanship can basically be understood as a deep-rooted identification, a lasting tie between an individual and the party she feels closest to (see Campbell et al. 1980). Achen and Bartels (2016: 234) further note that for most scholars, partisanship is both a form and a product of social identity. In line with the theoretical model in Figure 1, Achen and Bartels also consider partisanship a significant factor in shaping policy preferences. They argue, and empirically demonstrate, that partisan loyalties “strongly color citizens’ views about candidates, issues, and even ‘objective’ facts” (p. 269). In short, the assumption of this “realist” model is that policy preferences are endogenous to partisanship.  </w:t>
      </w:r>
    </w:p>
    <w:p w14:paraId="577D4A23"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In Figure 1 we present the original Achen-Bartels schema, with the direction of relationships denoted by the continuous lines and arrows, and our amendments, denoted by dotted lines and arrows. </w:t>
      </w:r>
    </w:p>
    <w:p w14:paraId="7C920168"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ab/>
      </w:r>
      <w:r w:rsidRPr="00B9494F">
        <w:rPr>
          <w:rFonts w:ascii="Times New Roman" w:hAnsi="Times New Roman" w:cs="Times New Roman"/>
          <w:color w:val="000000" w:themeColor="text1"/>
        </w:rPr>
        <w:tab/>
      </w:r>
      <w:r w:rsidRPr="00B9494F">
        <w:rPr>
          <w:rFonts w:ascii="Times New Roman" w:hAnsi="Times New Roman" w:cs="Times New Roman"/>
          <w:color w:val="000000" w:themeColor="text1"/>
        </w:rPr>
        <w:tab/>
      </w:r>
      <w:r w:rsidRPr="00B9494F">
        <w:rPr>
          <w:rFonts w:ascii="Times New Roman" w:hAnsi="Times New Roman" w:cs="Times New Roman"/>
          <w:color w:val="000000" w:themeColor="text1"/>
        </w:rPr>
        <w:tab/>
      </w:r>
      <w:r w:rsidRPr="00B9494F">
        <w:rPr>
          <w:rFonts w:ascii="Times New Roman" w:hAnsi="Times New Roman" w:cs="Times New Roman"/>
          <w:color w:val="000000" w:themeColor="text1"/>
        </w:rPr>
        <w:tab/>
      </w:r>
    </w:p>
    <w:p w14:paraId="084CEF77" w14:textId="77777777" w:rsidR="005E12A9" w:rsidRPr="00B9494F" w:rsidRDefault="005E12A9" w:rsidP="005E12A9">
      <w:pPr>
        <w:spacing w:line="240" w:lineRule="auto"/>
        <w:ind w:right="-233"/>
        <w:jc w:val="center"/>
        <w:rPr>
          <w:rFonts w:ascii="Times New Roman" w:hAnsi="Times New Roman" w:cs="Times New Roman"/>
          <w:color w:val="000000" w:themeColor="text1"/>
        </w:rPr>
      </w:pPr>
      <w:r w:rsidRPr="00B9494F">
        <w:rPr>
          <w:rFonts w:ascii="Times New Roman" w:hAnsi="Times New Roman" w:cs="Times New Roman"/>
          <w:color w:val="000000" w:themeColor="text1"/>
        </w:rPr>
        <w:t>Figure 1 about here</w:t>
      </w:r>
    </w:p>
    <w:p w14:paraId="0A8B654D" w14:textId="77777777" w:rsidR="005E12A9" w:rsidRPr="00B9494F" w:rsidRDefault="005E12A9" w:rsidP="005E12A9">
      <w:pPr>
        <w:spacing w:line="240" w:lineRule="auto"/>
        <w:ind w:right="-233"/>
        <w:jc w:val="both"/>
        <w:rPr>
          <w:rFonts w:ascii="Times New Roman" w:hAnsi="Times New Roman" w:cs="Times New Roman"/>
          <w:color w:val="000000" w:themeColor="text1"/>
        </w:rPr>
      </w:pPr>
    </w:p>
    <w:p w14:paraId="20B9EFE0"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Our amendments to the Achen-Bartels schema can be summarised as follows: (1) first and most importantly – both in the European context and in Poland in particular, the causal arrow between party identification (PID) and vote choice is an matter for empirical investigation, with the causal impact of vote on PID an entirely plausible alternative hypothesis; (2) contrary to Achen and Bartels, we  contend that issue stances and policy preferences can realistically be expected to have a significant impact on vote choice; (3) aside from directly influencing vote choice, social identities also exert an impact on issue stances and policy preferences; (4) we have a strongly plural conception of social identities, assuming that individuals potentially belong to and identify with a multiplicity of groups, some of which may be in conflict with each other,) that these identities (for example, religious and professional) are ontologically divergent, to the extent that the mechanisms by which they exert an influence on self-consciousness of group belonging and group loyalty differ. </w:t>
      </w:r>
    </w:p>
    <w:p w14:paraId="183420FF"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The overall analytical frame of the PNES remains a version of the Michigan funnel of causality. However, the Michigan model is extended in important ways in accordance with the discussion above First, the proposed PNES model will expand upon the Columbia School tradition of sociological factors (both ascribed and achieved) to incorporate interactive relationships. Primarily, our objective is to estimate the relative impact of traditional cleavage politics compared with that of less formal, network-driven bonds and new social identities. The second important contribution is a focus on the quality of political representation and accountability which builds on traditional approaches to promissory and societal representation to explore the impact of alternative modes of representation, in particular surrogate representation (Mansbridge 2003) in which political representation is carried out by non-political institutions such as prominent journalists, important newspapers, churches, trade unions and similar organizations. Third, in contrast to classical approaches to political accountability which concentrate mainly on the deeds of incumbents and their economic performance (Przeworski et al 1997) we conceive of political accountability as pertaining also to axiological, symbolic and identitarian issues.</w:t>
      </w:r>
    </w:p>
    <w:p w14:paraId="22E28817"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According to the postulates of the Michigan model, the decision of citizens to vote for a particular party is typically a combination of numerous factors, operationalised as independent variables, which are grouped and related to each other according to their causal distance from the dependent variable of vote choice (Campbell et al. 1960). In this project, our point of departure is an alternative analytical proposal based on Miller and Shanks (1996) which offers a multi-stage explanatory model: a set of several temporally ordered stages that reliably account for vote choice. </w:t>
      </w:r>
    </w:p>
    <w:p w14:paraId="678BAFB2"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p>
    <w:p w14:paraId="74E03B98"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r w:rsidRPr="00B9494F">
        <w:rPr>
          <w:rFonts w:ascii="Times New Roman" w:hAnsi="Times New Roman" w:cs="Times New Roman"/>
          <w:color w:val="000000" w:themeColor="text1"/>
          <w:u w:val="single"/>
        </w:rPr>
        <w:t>3. Research plan and design</w:t>
      </w:r>
    </w:p>
    <w:p w14:paraId="595B20B1"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r w:rsidRPr="00B9494F">
        <w:rPr>
          <w:rFonts w:ascii="Times New Roman" w:hAnsi="Times New Roman" w:cs="Times New Roman"/>
          <w:color w:val="000000" w:themeColor="text1"/>
        </w:rPr>
        <w:t>Political scientists have tended to approach electoral behavior from a single perspective. In our view, the contemporary scholar of elections, vote choice and public opinion should adopt a multi-perspective approach, particularly in light of fundamental changes over time in the relative importance of competing causal mechanisms for the explanation of voting behavior.</w:t>
      </w:r>
    </w:p>
    <w:p w14:paraId="1802047D" w14:textId="77777777" w:rsidR="005E12A9" w:rsidRPr="00B9494F" w:rsidRDefault="005E12A9" w:rsidP="005E12A9">
      <w:pPr>
        <w:spacing w:line="240" w:lineRule="auto"/>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In advanced contemporary economies that have been the most directly exposed to the revolution in communications technology that globalisation has created, we can observe a dramatic change in the study of </w:t>
      </w:r>
      <w:r w:rsidRPr="00B9494F">
        <w:rPr>
          <w:rFonts w:ascii="Times New Roman" w:hAnsi="Times New Roman" w:cs="Times New Roman"/>
          <w:color w:val="000000" w:themeColor="text1"/>
          <w:lang w:val="en-GB"/>
        </w:rPr>
        <w:lastRenderedPageBreak/>
        <w:t xml:space="preserve">public opinion.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resourced organisations to consider. </w:t>
      </w:r>
    </w:p>
    <w:p w14:paraId="2072EF40" w14:textId="77777777" w:rsidR="005E12A9" w:rsidRPr="00B9494F" w:rsidRDefault="005E12A9" w:rsidP="005E12A9">
      <w:pPr>
        <w:spacing w:line="240" w:lineRule="auto"/>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At the same time, a gap has opened up between the most advanced economies and the less developed and more recently democratised European countries, including Poland, with respect to the quality of social survey research capacities. It results from a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now, been the basis of the PNES. </w:t>
      </w:r>
    </w:p>
    <w:p w14:paraId="74513AC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bCs/>
          <w:color w:val="000000" w:themeColor="text1"/>
          <w:lang w:val="en-GB"/>
        </w:rPr>
        <w:t xml:space="preserve">Aside from the aforementioned innovations, the PNES continues to constitute a research program of significant value both domestically and internationally. As a longitudinal study which </w:t>
      </w:r>
      <w:r w:rsidRPr="00B9494F">
        <w:rPr>
          <w:rFonts w:ascii="Times New Roman" w:hAnsi="Times New Roman" w:cs="Times New Roman"/>
          <w:color w:val="000000" w:themeColor="text1"/>
        </w:rPr>
        <w:t>employs many cross-nationally comparative modules and questions that have been externally validated by other surveys, PNES is a uniquely rich and relevant source of information about Polish attitudes, preferences and political behavior both over time and cross-nationally. The PNES 2019 will maintain this standard through the integration of the CSES Module 5 battery of questions, as well as selected questions from the European Election Study 2019.</w:t>
      </w:r>
    </w:p>
    <w:p w14:paraId="6B498810"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measurement of the attitudes, preferences and behavior of Polish voters have, since the outset of the PNES survey, been the crux of our research endeavor. </w:t>
      </w:r>
      <w:r w:rsidRPr="00B9494F">
        <w:rPr>
          <w:rFonts w:ascii="Times New Roman" w:hAnsi="Times New Roman" w:cs="Times New Roman"/>
          <w:color w:val="000000" w:themeColor="text1"/>
          <w:lang w:val="en-GB"/>
        </w:rPr>
        <w:t xml:space="preserve">As mentioned in the preceding section, we also envisage two additional components which will complement our empirical surveys: a parliamentary elite study and an analysis of party manifestos. </w:t>
      </w:r>
      <w:r w:rsidRPr="00B9494F">
        <w:rPr>
          <w:rFonts w:ascii="Times New Roman" w:hAnsi="Times New Roman" w:cs="Times New Roman"/>
          <w:b/>
          <w:color w:val="000000" w:themeColor="text1"/>
          <w:lang w:val="en-GB"/>
        </w:rPr>
        <w:t xml:space="preserve">However, these two projects are not part of this application; the team will seek funds from other sources to finance these objectives. </w:t>
      </w:r>
    </w:p>
    <w:p w14:paraId="7EF5B3A3"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The main empirical task, the surveys themselves, will be undertaken before the election (first wave of CAWI) and during the period of one week to three weeks following the election day, which is most likely to occur in November 2019 (CAPI survey and the second wave of CAWI). During late 2019 and early 2020 the team will begin to produce initial analyses of the survey data, and during 2020 and 2021 will produce a series of articles for publication in internationally significant journals.</w:t>
      </w:r>
    </w:p>
    <w:p w14:paraId="32F96EB9"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p>
    <w:p w14:paraId="26198873" w14:textId="77777777" w:rsidR="005E12A9" w:rsidRPr="00B9494F" w:rsidRDefault="005E12A9" w:rsidP="005E12A9">
      <w:pPr>
        <w:spacing w:line="240" w:lineRule="auto"/>
        <w:ind w:right="-233"/>
        <w:jc w:val="both"/>
        <w:rPr>
          <w:rFonts w:ascii="Times New Roman" w:hAnsi="Times New Roman" w:cs="Times New Roman"/>
          <w:color w:val="000000" w:themeColor="text1"/>
          <w:u w:val="single"/>
        </w:rPr>
      </w:pPr>
      <w:r w:rsidRPr="00B9494F">
        <w:rPr>
          <w:rFonts w:ascii="Times New Roman" w:hAnsi="Times New Roman" w:cs="Times New Roman"/>
          <w:color w:val="000000" w:themeColor="text1"/>
        </w:rPr>
        <w:t>4.</w:t>
      </w:r>
      <w:r w:rsidRPr="00B9494F">
        <w:rPr>
          <w:rFonts w:ascii="Times New Roman" w:hAnsi="Times New Roman" w:cs="Times New Roman"/>
          <w:color w:val="000000" w:themeColor="text1"/>
          <w:u w:val="single"/>
        </w:rPr>
        <w:t xml:space="preserve"> Methodology</w:t>
      </w:r>
    </w:p>
    <w:p w14:paraId="3C946411" w14:textId="77777777" w:rsidR="005E12A9" w:rsidRPr="00B9494F" w:rsidRDefault="005E12A9" w:rsidP="005E12A9">
      <w:pPr>
        <w:spacing w:line="240" w:lineRule="auto"/>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To achieve our research goals, we propose a methodological experiment that consists in a near-simultaneous fielding of surveys using a CAPI sample (n=1500) and a two-wave CAWI sample (n=1000). The CAPI survey serves the core </w:t>
      </w:r>
      <w:r w:rsidRPr="00B9494F">
        <w:rPr>
          <w:rFonts w:ascii="Times New Roman" w:hAnsi="Times New Roman" w:cs="Times New Roman"/>
          <w:b/>
          <w:color w:val="000000" w:themeColor="text1"/>
          <w:lang w:val="en-GB"/>
        </w:rPr>
        <w:t>substantive</w:t>
      </w:r>
      <w:r w:rsidRPr="00B9494F">
        <w:rPr>
          <w:rFonts w:ascii="Times New Roman" w:hAnsi="Times New Roman" w:cs="Times New Roman"/>
          <w:color w:val="000000" w:themeColor="text1"/>
          <w:lang w:val="en-GB"/>
        </w:rPr>
        <w:t xml:space="preserve"> goal of our research, while the comparison between CAPI and CAWI panel forms the basis of </w:t>
      </w:r>
      <w:r w:rsidRPr="00B9494F">
        <w:rPr>
          <w:rFonts w:ascii="Times New Roman" w:hAnsi="Times New Roman" w:cs="Times New Roman"/>
          <w:b/>
          <w:color w:val="000000" w:themeColor="text1"/>
          <w:lang w:val="en-GB"/>
        </w:rPr>
        <w:t>methodological</w:t>
      </w:r>
      <w:r w:rsidRPr="00B9494F">
        <w:rPr>
          <w:rFonts w:ascii="Times New Roman" w:hAnsi="Times New Roman" w:cs="Times New Roman"/>
          <w:color w:val="000000" w:themeColor="text1"/>
          <w:lang w:val="en-GB"/>
        </w:rPr>
        <w:t xml:space="preserve"> innovation. </w:t>
      </w:r>
    </w:p>
    <w:p w14:paraId="23CFB42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The CAPI face-to-face questionnaire will take approximately 1 hour to 1 hour 10 minutes, using a randomly selected sample of 1500 adult Poles. In order to achieve diachronic comparability, the core of the questionnaire to be used in the 2019 questionnaire will be based on the previous iterations of the PNES survey and CSES module 5, but the survey will also contain a number of new questions that reflect new issues or the greater current salience of old ones.</w:t>
      </w:r>
    </w:p>
    <w:p w14:paraId="723FC736"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t>
      </w:r>
    </w:p>
    <w:p w14:paraId="13CA4A8C" w14:textId="77777777"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The implementation of new approaches, in particular (quasi-)experimental techniques that are more conducive to testing causal claims about the linkages between socio-demographics, values, preferences and vote choice, has led to an abundance of new findings that have both confirmed and refuted some of the “received wisdoms” of political science with respect to electoral behavior. By implementing similar methods in the PNES while retaining the key elements of the project’s tradition, we will be better equipped to conduct reliable tests of assumptions about the Polish voter, and better able to contribute to advancing knowledge about electoral behaviour more generally. </w:t>
      </w:r>
    </w:p>
    <w:p w14:paraId="529A8DF0"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lastRenderedPageBreak/>
        <w:t xml:space="preserve">The CAWI internet panel has two main goals. Firstly, CAWI will primarily serve as a comparison to the CAPI results, allowing us to observe how the two survey methods differ both in terms of the basic socio-demographics of the sample and also with respect to the core questions asked in the traditional CAPI wave. </w:t>
      </w:r>
      <w:r w:rsidRPr="00B9494F">
        <w:rPr>
          <w:rFonts w:ascii="Times New Roman" w:hAnsi="Times New Roman" w:cs="Times New Roman"/>
          <w:color w:val="000000" w:themeColor="text1"/>
          <w:lang w:val="en-GB"/>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t>
      </w:r>
    </w:p>
    <w:p w14:paraId="0E44090E" w14:textId="77777777" w:rsidR="005E12A9" w:rsidRPr="00B9494F" w:rsidRDefault="005E12A9" w:rsidP="005E12A9">
      <w:pPr>
        <w:spacing w:line="240" w:lineRule="auto"/>
        <w:ind w:right="-233"/>
        <w:jc w:val="both"/>
        <w:rPr>
          <w:rFonts w:ascii="Times New Roman" w:eastAsia="Times New Roman" w:hAnsi="Times New Roman" w:cs="Times New Roman"/>
          <w:color w:val="000000" w:themeColor="text1"/>
          <w:lang w:eastAsia="pl-PL"/>
        </w:rPr>
      </w:pPr>
      <w:r w:rsidRPr="00B9494F">
        <w:rPr>
          <w:rFonts w:ascii="Times New Roman" w:eastAsia="Times New Roman" w:hAnsi="Times New Roman" w:cs="Times New Roman"/>
          <w:color w:val="000000" w:themeColor="text1"/>
          <w:lang w:eastAsia="pl-PL"/>
        </w:rPr>
        <w:t xml:space="preserve">The problem of discrepancies between the obtained sample and the studied population is usually observable in studies to which the sample is selected in a non-random manner and/or based on sampling lists which fail to meet requisite conditions of procedural representativeness. Samples obtained for online surveys are particularly prone to strong overrepresentation of some social groups (the young, the more affluent) and underrepresentation of others (older respondents, whose who cannot afford or otherwise do not have access to a reliable internet connection), but online survey modes are becoming increasingly popular thanks to their relatively low cost and the speed with which they can be administered, and continuing improvements in internet access for hard-to-reach socio-demographic groups. </w:t>
      </w:r>
    </w:p>
    <w:p w14:paraId="631C21E5" w14:textId="77777777" w:rsidR="005E12A9" w:rsidRPr="00B9494F" w:rsidRDefault="005E12A9" w:rsidP="005E12A9">
      <w:pPr>
        <w:spacing w:line="240" w:lineRule="auto"/>
        <w:ind w:right="-233"/>
        <w:jc w:val="both"/>
        <w:rPr>
          <w:rFonts w:ascii="Times New Roman" w:eastAsia="Times New Roman" w:hAnsi="Times New Roman" w:cs="Times New Roman"/>
          <w:color w:val="000000" w:themeColor="text1"/>
          <w:lang w:eastAsia="pl-PL"/>
        </w:rPr>
      </w:pPr>
      <w:r w:rsidRPr="00B9494F">
        <w:rPr>
          <w:rFonts w:ascii="Times New Roman" w:eastAsia="Times New Roman" w:hAnsi="Times New Roman" w:cs="Times New Roman"/>
          <w:color w:val="000000" w:themeColor="text1"/>
          <w:lang w:eastAsia="pl-PL"/>
        </w:rPr>
        <w:t>According to the data of the Digital Economy and Society Index, only 65% ​​of Poles regularly use the Internet, which puts Poland at one of the last places in Europe (European Commission 2016). In addition to access restrictions, the representativeness of on-line surveys is limited by strong distortions in sample characteristics due to the varied level of self-selection for research in particular groups, primarily due to age, education and gender (Blasius and Brandt 2010, Bethlehem 2010).</w:t>
      </w:r>
    </w:p>
    <w:p w14:paraId="494D36CB" w14:textId="77777777" w:rsidR="005E12A9" w:rsidRPr="00B9494F" w:rsidRDefault="005E12A9" w:rsidP="005E12A9">
      <w:pPr>
        <w:spacing w:line="240" w:lineRule="auto"/>
        <w:ind w:right="-233"/>
        <w:jc w:val="both"/>
        <w:rPr>
          <w:rFonts w:ascii="Times New Roman" w:eastAsia="Times New Roman" w:hAnsi="Times New Roman" w:cs="Times New Roman"/>
          <w:color w:val="000000" w:themeColor="text1"/>
          <w:lang w:eastAsia="pl-PL"/>
        </w:rPr>
      </w:pPr>
      <w:r w:rsidRPr="00B9494F">
        <w:rPr>
          <w:rFonts w:ascii="Times New Roman" w:hAnsi="Times New Roman" w:cs="Times New Roman"/>
          <w:color w:val="000000" w:themeColor="text1"/>
        </w:rPr>
        <w:t xml:space="preserve">The simultaneous use of large-scale face-to-face interviews and online surveys will also allow us to explore the possibility of using methods of multiple imputation in the case of groups that are systematically underrepresented in Polish surveys. Multiple imputation makes it possible to obtain </w:t>
      </w:r>
      <w:r w:rsidRPr="00B9494F">
        <w:rPr>
          <w:rFonts w:ascii="Times New Roman" w:eastAsia="Times New Roman" w:hAnsi="Times New Roman" w:cs="Times New Roman"/>
          <w:color w:val="000000" w:themeColor="text1"/>
          <w:lang w:eastAsia="pl-PL"/>
        </w:rPr>
        <w:t xml:space="preserve">approximately unbiased estimates of parameters and standard errors where data are missing, based on the values of similar cases in a multivariate analysis (Lall 2016). In the case of online research, advanced models of multiple imputation will be required, since data are not missing at random. </w:t>
      </w:r>
    </w:p>
    <w:p w14:paraId="323BD31A" w14:textId="43B7BE38"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The second goal of the CAWI internet panel is to provide an opportunity to examine causal relationships between key variable of interest. Here, the use of pre-election and post-election waves is crucial. As discussed above, the directionality of relationships between socio-demographic status, values and attitudes, political preferences and vote choice is both under-theorised and insufficiently empirically examined. The quasi-experimental ‘breakpoint’ of an election makes it possible to test hypotheses relevant to these questions, in particular those which pertain to party identification and vote choice (does party identification inform vote choice, as has commonly been   assumed, or does the causal arrow run in the opposite direction?). With respect to these and other questions, the two-stage CAWI survey will make it possible to analyze the vote decision-making process in the context of an </w:t>
      </w:r>
      <w:bookmarkStart w:id="0" w:name="_GoBack"/>
      <w:bookmarkEnd w:id="0"/>
      <w:r w:rsidRPr="00B9494F">
        <w:rPr>
          <w:rFonts w:ascii="Times New Roman" w:hAnsi="Times New Roman" w:cs="Times New Roman"/>
          <w:color w:val="000000" w:themeColor="text1"/>
          <w:lang w:val="en-GB"/>
        </w:rPr>
        <w:t>electoral campaign in ways that have hitherto not been open to us.</w:t>
      </w:r>
    </w:p>
    <w:p w14:paraId="3C1E5F9E" w14:textId="3F232E65" w:rsidR="005E12A9" w:rsidRPr="00B9494F" w:rsidRDefault="005E12A9" w:rsidP="005E12A9">
      <w:pPr>
        <w:spacing w:line="240" w:lineRule="auto"/>
        <w:ind w:right="-233"/>
        <w:jc w:val="both"/>
        <w:rPr>
          <w:rFonts w:ascii="Times New Roman" w:hAnsi="Times New Roman" w:cs="Times New Roman"/>
          <w:color w:val="000000" w:themeColor="text1"/>
        </w:rPr>
      </w:pPr>
      <w:r w:rsidRPr="00B9494F">
        <w:rPr>
          <w:rFonts w:ascii="Times New Roman" w:hAnsi="Times New Roman" w:cs="Times New Roman"/>
          <w:color w:val="000000" w:themeColor="text1"/>
          <w:lang w:val="en-GB"/>
        </w:rPr>
        <w:t xml:space="preserve">In our analyses we will conceptualise the determinants of electoral behaviour in a variety of ways. This will involve a variety of methodological approaches to the analysis of our data, particularly given our attention to the aforementioned “heterogeneity assumption”. </w:t>
      </w:r>
      <w:r w:rsidRPr="00B9494F">
        <w:rPr>
          <w:rFonts w:ascii="Times New Roman" w:hAnsi="Times New Roman" w:cs="Times New Roman"/>
          <w:color w:val="000000" w:themeColor="text1"/>
        </w:rPr>
        <w:t>The modern student of elections, voting behavior and public opinion needs to embrace a multi-perspective approach, given fundamental changes over time in the relative importance of different causal mechanisms. The PNES 2019 will also be ontologically and methodologically sensitive to the differentiation between macro and micro variables and the diverse contexts in which particular relationships occur, distinguishing between two sets of determinants of the vote: long-term factors (e.g. cleavage politics, partisan attachments) and short-term factors (e.g. retrospective voting, evaluation of government performance). To date, the impact of macro and micro level factors – both separately and interactively - have not been subject to sufficient analysis. Most studies have focused either on the sociological or psychological determinants of voter preferences and his or her behavior, or on the impact of aggregate national as well as institutional features of elections, with limited attempts to bridge the two. Employing approaches which stress the interdependence of micro and macro-level factors will enable us to move away from this overly restrictive approach.</w:t>
      </w:r>
    </w:p>
    <w:p w14:paraId="7446FBB3"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Our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 This will require the use of statistical analysis software with the following capabilities: (a) regression generalized linear models, binomial and multinomial logistic regression: (b) structural equation models aimed at observing latent variables and tracing important relationships between variables that allow us to distinguish between direct and indirect effects; (c) multilevel analyses (hierarchical linear models). These requirements make it necessary for us to purchase a copy of the Mplus statistical analysis package with Mixture </w:t>
      </w:r>
      <w:r w:rsidRPr="00B9494F">
        <w:rPr>
          <w:rFonts w:ascii="Times New Roman" w:hAnsi="Times New Roman" w:cs="Times New Roman"/>
          <w:color w:val="000000" w:themeColor="text1"/>
          <w:lang w:val="en-GB"/>
        </w:rPr>
        <w:lastRenderedPageBreak/>
        <w:t xml:space="preserve">and Multilevel add-ons, widely regarded as the gold standard for the analysis of complex structural equation models and multilevel models, and also fully capable of undertaking the less computationally demanding analyses we will require. Statistical analyses will also be performed with Stata, SPSS and R software (it is not necessary to budget for these items, as the licences are free or already at the disposal of SWPS University). </w:t>
      </w:r>
    </w:p>
    <w:p w14:paraId="6232F0EB" w14:textId="77777777" w:rsidR="005E12A9" w:rsidRPr="00F30C31" w:rsidRDefault="005E12A9" w:rsidP="005E12A9">
      <w:pPr>
        <w:spacing w:after="160" w:line="259" w:lineRule="auto"/>
        <w:rPr>
          <w:rFonts w:ascii="Times New Roman" w:hAnsi="Times New Roman" w:cs="Times New Roman"/>
          <w:color w:val="000000" w:themeColor="text1"/>
          <w:lang w:val="en-GB"/>
        </w:rPr>
      </w:pPr>
      <w:r w:rsidRPr="00F30C31">
        <w:rPr>
          <w:rFonts w:ascii="Times New Roman" w:hAnsi="Times New Roman" w:cs="Times New Roman"/>
          <w:color w:val="000000" w:themeColor="text1"/>
          <w:lang w:val="en-GB"/>
        </w:rPr>
        <w:br w:type="page"/>
      </w:r>
    </w:p>
    <w:p w14:paraId="575160FB" w14:textId="77777777" w:rsidR="005E12A9" w:rsidRPr="00B9494F" w:rsidRDefault="005E12A9" w:rsidP="005E12A9">
      <w:pPr>
        <w:spacing w:line="240" w:lineRule="auto"/>
        <w:ind w:right="-233"/>
        <w:jc w:val="both"/>
        <w:rPr>
          <w:rFonts w:ascii="Times New Roman" w:hAnsi="Times New Roman" w:cs="Times New Roman"/>
          <w:color w:val="000000" w:themeColor="text1"/>
          <w:u w:val="single"/>
          <w:lang w:val="en-GB"/>
        </w:rPr>
      </w:pPr>
      <w:r w:rsidRPr="00B9494F">
        <w:rPr>
          <w:rFonts w:ascii="Times New Roman" w:hAnsi="Times New Roman" w:cs="Times New Roman"/>
          <w:color w:val="000000" w:themeColor="text1"/>
          <w:u w:val="single"/>
          <w:lang w:val="en-GB"/>
        </w:rPr>
        <w:lastRenderedPageBreak/>
        <w:t>Bibliography</w:t>
      </w:r>
    </w:p>
    <w:p w14:paraId="68024F74"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Bethlehem, Jelke. 2010. </w:t>
      </w:r>
      <w:r w:rsidRPr="00B9494F">
        <w:rPr>
          <w:rFonts w:ascii="Times New Roman" w:hAnsi="Times New Roman" w:cs="Times New Roman"/>
          <w:i/>
          <w:color w:val="000000" w:themeColor="text1"/>
        </w:rPr>
        <w:t>Selection bias in web surveys</w:t>
      </w:r>
      <w:r w:rsidRPr="00B9494F">
        <w:rPr>
          <w:rFonts w:ascii="Times New Roman" w:hAnsi="Times New Roman" w:cs="Times New Roman"/>
          <w:color w:val="000000" w:themeColor="text1"/>
        </w:rPr>
        <w:t>. „International Statistical Review” 78(2): 161-188.</w:t>
      </w:r>
    </w:p>
    <w:p w14:paraId="3BAEFFEA" w14:textId="77777777" w:rsidR="005E12A9"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Blasius, Jörg i Maurice Brandt. 2010. </w:t>
      </w:r>
      <w:r w:rsidRPr="00B9494F">
        <w:rPr>
          <w:rFonts w:ascii="Times New Roman" w:hAnsi="Times New Roman" w:cs="Times New Roman"/>
          <w:i/>
          <w:color w:val="000000" w:themeColor="text1"/>
        </w:rPr>
        <w:t>Representativeness in online surveys through stratified samples</w:t>
      </w:r>
      <w:r w:rsidRPr="00B9494F">
        <w:rPr>
          <w:rFonts w:ascii="Times New Roman" w:hAnsi="Times New Roman" w:cs="Times New Roman"/>
          <w:color w:val="000000" w:themeColor="text1"/>
        </w:rPr>
        <w:t>. „Bulletin de Méthodologie Sociologique” 107: 5–21.</w:t>
      </w:r>
    </w:p>
    <w:p w14:paraId="439C87A1" w14:textId="77777777" w:rsidR="005E12A9"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Dassonneville, Ruth &amp; Hanna Wass. 2017. ‘It’s the social identities and partisan loyalties, stupid? The bases for vote choice in Europe’, </w:t>
      </w:r>
      <w:r w:rsidRPr="00B9494F">
        <w:rPr>
          <w:rFonts w:ascii="Times New Roman" w:hAnsi="Times New Roman" w:cs="Times New Roman"/>
          <w:i/>
          <w:color w:val="000000" w:themeColor="text1"/>
        </w:rPr>
        <w:t xml:space="preserve">Paper presented at the ECPR General Conference, </w:t>
      </w:r>
      <w:r w:rsidRPr="00B9494F">
        <w:rPr>
          <w:rFonts w:ascii="Times New Roman" w:hAnsi="Times New Roman" w:cs="Times New Roman"/>
          <w:color w:val="000000" w:themeColor="text1"/>
        </w:rPr>
        <w:t>Oslo, September 6-9, 2017</w:t>
      </w:r>
    </w:p>
    <w:p w14:paraId="670BFA3C" w14:textId="77777777" w:rsidR="005E12A9" w:rsidRPr="00B9494F" w:rsidRDefault="005E12A9" w:rsidP="005E12A9">
      <w:pPr>
        <w:spacing w:line="240" w:lineRule="auto"/>
        <w:ind w:right="-233"/>
        <w:jc w:val="both"/>
        <w:rPr>
          <w:rFonts w:ascii="Times New Roman" w:hAnsi="Times New Roman" w:cs="Times New Roman"/>
          <w:color w:val="000000" w:themeColor="text1"/>
          <w:lang w:val="en-GB"/>
        </w:rPr>
      </w:pPr>
      <w:r w:rsidRPr="00B9494F">
        <w:rPr>
          <w:rFonts w:ascii="Times New Roman" w:hAnsi="Times New Roman" w:cs="Times New Roman"/>
          <w:color w:val="000000" w:themeColor="text1"/>
          <w:lang w:val="en-GB"/>
        </w:rPr>
        <w:t xml:space="preserve">Franklin, Mark &amp; Christopher Wlezien, eds. 2002. </w:t>
      </w:r>
      <w:r w:rsidRPr="00B9494F">
        <w:rPr>
          <w:rFonts w:ascii="Times New Roman" w:hAnsi="Times New Roman" w:cs="Times New Roman"/>
          <w:i/>
          <w:color w:val="000000" w:themeColor="text1"/>
          <w:lang w:val="en-GB"/>
        </w:rPr>
        <w:t xml:space="preserve">The Future of Election Studies. </w:t>
      </w:r>
      <w:r w:rsidRPr="00B9494F">
        <w:rPr>
          <w:rFonts w:ascii="Times New Roman" w:hAnsi="Times New Roman" w:cs="Times New Roman"/>
          <w:color w:val="000000" w:themeColor="text1"/>
          <w:lang w:val="en-GB"/>
        </w:rPr>
        <w:t>Amsterdam: Pergamon.</w:t>
      </w:r>
    </w:p>
    <w:p w14:paraId="518BCC54"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Komisja Europejska. 2016. Digital Economy and Society Index 2016. Country Profile: Poland, „Digital Single Market. Reports and Studies”.</w:t>
      </w:r>
    </w:p>
    <w:p w14:paraId="7B2A8801" w14:textId="77777777" w:rsidR="005E12A9"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Lall, R. (2016). How Multiple Imputation Makes a Difference. Political Analysis, 24(04), 414–433. doi:10.1093/pan/mpw020</w:t>
      </w:r>
    </w:p>
    <w:p w14:paraId="29B0983C"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Langsaether, Peter, Haakon Gjerlow, Martin Soyland. 2017. ‘Separating the Wheat from the Chaff. Using media exposure and preferential voting to assess voter competence’</w:t>
      </w:r>
      <w:r w:rsidRPr="00B9494F">
        <w:rPr>
          <w:rFonts w:ascii="Times New Roman" w:hAnsi="Times New Roman" w:cs="Times New Roman"/>
          <w:i/>
          <w:color w:val="000000" w:themeColor="text1"/>
        </w:rPr>
        <w:t xml:space="preserve"> Paper presented at the ECPR General Conference, </w:t>
      </w:r>
      <w:r w:rsidRPr="00B9494F">
        <w:rPr>
          <w:rFonts w:ascii="Times New Roman" w:hAnsi="Times New Roman" w:cs="Times New Roman"/>
          <w:color w:val="000000" w:themeColor="text1"/>
        </w:rPr>
        <w:t>Oslo, September 6-9, 2017</w:t>
      </w:r>
    </w:p>
    <w:p w14:paraId="76CCF1A9"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Stanley, Ben. 2014. "The Dynamics of Party-System Supply and Demand in Poland, 1997–2007. Cleavage Change or Shapeless Shifting?" </w:t>
      </w:r>
      <w:r w:rsidRPr="00B9494F">
        <w:rPr>
          <w:rFonts w:ascii="Times New Roman" w:hAnsi="Times New Roman" w:cs="Times New Roman"/>
          <w:i/>
          <w:iCs/>
          <w:color w:val="000000" w:themeColor="text1"/>
        </w:rPr>
        <w:t>Europe-Asia Studies</w:t>
      </w:r>
      <w:r w:rsidRPr="00B9494F">
        <w:rPr>
          <w:rFonts w:ascii="Times New Roman" w:hAnsi="Times New Roman" w:cs="Times New Roman"/>
          <w:color w:val="000000" w:themeColor="text1"/>
        </w:rPr>
        <w:t xml:space="preserve"> 66 (8):1295-322.</w:t>
      </w:r>
    </w:p>
    <w:p w14:paraId="2F5FE59E"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Stanley, Ben. 2018. "A New Populist Divide? Correspondences of Supply and Demand in the 2015 Polish Parliamentary Elections." </w:t>
      </w:r>
      <w:r w:rsidRPr="00B9494F">
        <w:rPr>
          <w:rFonts w:ascii="Times New Roman" w:hAnsi="Times New Roman" w:cs="Times New Roman"/>
          <w:i/>
          <w:iCs/>
          <w:color w:val="000000" w:themeColor="text1"/>
        </w:rPr>
        <w:t>East European Politics and Societies</w:t>
      </w:r>
      <w:r w:rsidRPr="00B9494F">
        <w:rPr>
          <w:rFonts w:ascii="Times New Roman" w:hAnsi="Times New Roman" w:cs="Times New Roman"/>
          <w:color w:val="000000" w:themeColor="text1"/>
        </w:rPr>
        <w:t xml:space="preserve"> (online publication).</w:t>
      </w:r>
    </w:p>
    <w:p w14:paraId="0CF8B6BE" w14:textId="77777777" w:rsidR="005E12A9" w:rsidRPr="00B9494F" w:rsidRDefault="005E12A9" w:rsidP="005E12A9">
      <w:pPr>
        <w:spacing w:line="240" w:lineRule="auto"/>
        <w:jc w:val="both"/>
        <w:rPr>
          <w:rFonts w:ascii="Times New Roman" w:hAnsi="Times New Roman" w:cs="Times New Roman"/>
          <w:color w:val="000000" w:themeColor="text1"/>
        </w:rPr>
      </w:pPr>
      <w:r w:rsidRPr="00B9494F">
        <w:rPr>
          <w:rFonts w:ascii="Times New Roman" w:hAnsi="Times New Roman" w:cs="Times New Roman"/>
          <w:color w:val="000000" w:themeColor="text1"/>
        </w:rPr>
        <w:t xml:space="preserve">Patkos, Veronika. 2017. ‘Three aspects of political sophistication – which one can be blamed for generating bias?’, </w:t>
      </w:r>
      <w:r w:rsidRPr="00B9494F">
        <w:rPr>
          <w:rFonts w:ascii="Times New Roman" w:hAnsi="Times New Roman" w:cs="Times New Roman"/>
          <w:i/>
          <w:color w:val="000000" w:themeColor="text1"/>
        </w:rPr>
        <w:t xml:space="preserve">Paper presented at the ECPR General Conference, </w:t>
      </w:r>
      <w:r w:rsidRPr="00B9494F">
        <w:rPr>
          <w:rFonts w:ascii="Times New Roman" w:hAnsi="Times New Roman" w:cs="Times New Roman"/>
          <w:color w:val="000000" w:themeColor="text1"/>
        </w:rPr>
        <w:t>Oslo, September 6-9, 2017</w:t>
      </w:r>
    </w:p>
    <w:p w14:paraId="3C87506B" w14:textId="77777777" w:rsidR="005E12A9" w:rsidRPr="00B9494F" w:rsidRDefault="005E12A9" w:rsidP="005E12A9">
      <w:pPr>
        <w:spacing w:line="240" w:lineRule="auto"/>
        <w:rPr>
          <w:rFonts w:ascii="Times New Roman" w:hAnsi="Times New Roman" w:cs="Times New Roman"/>
        </w:rPr>
      </w:pPr>
    </w:p>
    <w:p w14:paraId="072236BB" w14:textId="77777777" w:rsidR="008C54CB" w:rsidRDefault="008C54CB"/>
    <w:sectPr w:rsidR="008C54CB" w:rsidSect="004F5305">
      <w:pgSz w:w="11906" w:h="16838"/>
      <w:pgMar w:top="85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10AC72" w14:textId="77777777" w:rsidR="008E2E6B" w:rsidRDefault="008E2E6B" w:rsidP="005E12A9">
      <w:pPr>
        <w:spacing w:after="0" w:line="240" w:lineRule="auto"/>
      </w:pPr>
      <w:r>
        <w:separator/>
      </w:r>
    </w:p>
  </w:endnote>
  <w:endnote w:type="continuationSeparator" w:id="0">
    <w:p w14:paraId="1D2C58C4" w14:textId="77777777" w:rsidR="008E2E6B" w:rsidRDefault="008E2E6B" w:rsidP="005E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801EF" w14:textId="77777777" w:rsidR="008E2E6B" w:rsidRDefault="008E2E6B" w:rsidP="005E12A9">
      <w:pPr>
        <w:spacing w:after="0" w:line="240" w:lineRule="auto"/>
      </w:pPr>
      <w:r>
        <w:separator/>
      </w:r>
    </w:p>
  </w:footnote>
  <w:footnote w:type="continuationSeparator" w:id="0">
    <w:p w14:paraId="7FAE9B66" w14:textId="77777777" w:rsidR="008E2E6B" w:rsidRDefault="008E2E6B" w:rsidP="005E12A9">
      <w:pPr>
        <w:spacing w:after="0" w:line="240" w:lineRule="auto"/>
      </w:pPr>
      <w:r>
        <w:continuationSeparator/>
      </w:r>
    </w:p>
  </w:footnote>
  <w:footnote w:id="1">
    <w:p w14:paraId="1564175A" w14:textId="77777777" w:rsidR="005E12A9" w:rsidRPr="00B9494F" w:rsidRDefault="005E12A9" w:rsidP="005E12A9">
      <w:pPr>
        <w:pStyle w:val="FootnoteText"/>
        <w:jc w:val="both"/>
        <w:rPr>
          <w:rFonts w:ascii="Times New Roman" w:hAnsi="Times New Roman" w:cs="Times New Roman"/>
        </w:rPr>
      </w:pPr>
      <w:r w:rsidRPr="00B9494F">
        <w:rPr>
          <w:rStyle w:val="FootnoteReference"/>
          <w:rFonts w:ascii="Times New Roman" w:hAnsi="Times New Roman" w:cs="Times New Roman"/>
        </w:rPr>
        <w:footnoteRef/>
      </w:r>
      <w:r w:rsidRPr="00B9494F">
        <w:rPr>
          <w:rFonts w:ascii="Times New Roman" w:hAnsi="Times New Roman" w:cs="Times New Roman"/>
        </w:rPr>
        <w:t xml:space="preserve"> It should also be stressed that electoral research predating PNES took place in Poland from the very beginning of the transition to democracy, and the team of researchers which inaugurated PNES undertook survey research into elections as early as the 1990 presidential election. Furthermore, while the main focus of PNES has been parliamentary elections, the team has also covered the majority of presidential elections and elections to the European Parliament.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A9"/>
    <w:rsid w:val="000164A7"/>
    <w:rsid w:val="000507FD"/>
    <w:rsid w:val="00051B00"/>
    <w:rsid w:val="00061C73"/>
    <w:rsid w:val="000668DA"/>
    <w:rsid w:val="00096FD2"/>
    <w:rsid w:val="000B26DD"/>
    <w:rsid w:val="000D5BA7"/>
    <w:rsid w:val="000E0558"/>
    <w:rsid w:val="000E39A0"/>
    <w:rsid w:val="000F5B8E"/>
    <w:rsid w:val="001144F9"/>
    <w:rsid w:val="001149CD"/>
    <w:rsid w:val="001330A5"/>
    <w:rsid w:val="00142BF6"/>
    <w:rsid w:val="0014719B"/>
    <w:rsid w:val="00161B8F"/>
    <w:rsid w:val="0016433D"/>
    <w:rsid w:val="00167968"/>
    <w:rsid w:val="001771D7"/>
    <w:rsid w:val="00184395"/>
    <w:rsid w:val="001B45F3"/>
    <w:rsid w:val="001B5712"/>
    <w:rsid w:val="001D042B"/>
    <w:rsid w:val="001D6ACA"/>
    <w:rsid w:val="001F0A3C"/>
    <w:rsid w:val="001F1D6B"/>
    <w:rsid w:val="001F69F5"/>
    <w:rsid w:val="00200B56"/>
    <w:rsid w:val="00203D5C"/>
    <w:rsid w:val="002167CB"/>
    <w:rsid w:val="00230A69"/>
    <w:rsid w:val="002469E4"/>
    <w:rsid w:val="002612C6"/>
    <w:rsid w:val="0027370B"/>
    <w:rsid w:val="00280CE5"/>
    <w:rsid w:val="002A1C20"/>
    <w:rsid w:val="002A7883"/>
    <w:rsid w:val="002B27A0"/>
    <w:rsid w:val="002C3ED2"/>
    <w:rsid w:val="002D1F9F"/>
    <w:rsid w:val="002D39A2"/>
    <w:rsid w:val="002D56DE"/>
    <w:rsid w:val="002D621B"/>
    <w:rsid w:val="002D7377"/>
    <w:rsid w:val="00311019"/>
    <w:rsid w:val="00315387"/>
    <w:rsid w:val="0033730F"/>
    <w:rsid w:val="00340C7C"/>
    <w:rsid w:val="00350E4F"/>
    <w:rsid w:val="00375AE8"/>
    <w:rsid w:val="00381C38"/>
    <w:rsid w:val="0038647D"/>
    <w:rsid w:val="003C2B9C"/>
    <w:rsid w:val="003C3EB1"/>
    <w:rsid w:val="003C56C5"/>
    <w:rsid w:val="003D37EB"/>
    <w:rsid w:val="003D3BB7"/>
    <w:rsid w:val="003D4359"/>
    <w:rsid w:val="003E17CF"/>
    <w:rsid w:val="003E2DF5"/>
    <w:rsid w:val="003F0E9D"/>
    <w:rsid w:val="004343BE"/>
    <w:rsid w:val="00461934"/>
    <w:rsid w:val="00462027"/>
    <w:rsid w:val="00475B58"/>
    <w:rsid w:val="00475CE5"/>
    <w:rsid w:val="004A71B6"/>
    <w:rsid w:val="004C1DCD"/>
    <w:rsid w:val="004D09CE"/>
    <w:rsid w:val="004E352C"/>
    <w:rsid w:val="004F09E0"/>
    <w:rsid w:val="004F5647"/>
    <w:rsid w:val="00502E87"/>
    <w:rsid w:val="00513258"/>
    <w:rsid w:val="00520035"/>
    <w:rsid w:val="00524CA2"/>
    <w:rsid w:val="00525AE7"/>
    <w:rsid w:val="0053410B"/>
    <w:rsid w:val="00546024"/>
    <w:rsid w:val="00586CF6"/>
    <w:rsid w:val="005A1058"/>
    <w:rsid w:val="005A7DC9"/>
    <w:rsid w:val="005B6E12"/>
    <w:rsid w:val="005C6736"/>
    <w:rsid w:val="005D7612"/>
    <w:rsid w:val="005E12A9"/>
    <w:rsid w:val="0061475D"/>
    <w:rsid w:val="006250C2"/>
    <w:rsid w:val="006306DA"/>
    <w:rsid w:val="0064349E"/>
    <w:rsid w:val="006467A8"/>
    <w:rsid w:val="0065143B"/>
    <w:rsid w:val="00653B61"/>
    <w:rsid w:val="006562BA"/>
    <w:rsid w:val="00675FAB"/>
    <w:rsid w:val="006A5CDD"/>
    <w:rsid w:val="006B3D99"/>
    <w:rsid w:val="006C5C40"/>
    <w:rsid w:val="006D0999"/>
    <w:rsid w:val="006D4ABE"/>
    <w:rsid w:val="006D7194"/>
    <w:rsid w:val="006E3730"/>
    <w:rsid w:val="006F110E"/>
    <w:rsid w:val="006F5E7F"/>
    <w:rsid w:val="007048EC"/>
    <w:rsid w:val="007234F5"/>
    <w:rsid w:val="00727555"/>
    <w:rsid w:val="0072760F"/>
    <w:rsid w:val="00764A95"/>
    <w:rsid w:val="00770C51"/>
    <w:rsid w:val="00772289"/>
    <w:rsid w:val="00774AF9"/>
    <w:rsid w:val="00777390"/>
    <w:rsid w:val="00797259"/>
    <w:rsid w:val="007B3A1A"/>
    <w:rsid w:val="007B7677"/>
    <w:rsid w:val="007D02EE"/>
    <w:rsid w:val="007E014E"/>
    <w:rsid w:val="0080029E"/>
    <w:rsid w:val="0082583E"/>
    <w:rsid w:val="00831195"/>
    <w:rsid w:val="0083297B"/>
    <w:rsid w:val="00837D75"/>
    <w:rsid w:val="00843998"/>
    <w:rsid w:val="00847D48"/>
    <w:rsid w:val="00861AB1"/>
    <w:rsid w:val="0086380E"/>
    <w:rsid w:val="008732B6"/>
    <w:rsid w:val="00874A6D"/>
    <w:rsid w:val="00875DCB"/>
    <w:rsid w:val="0088728B"/>
    <w:rsid w:val="008C0447"/>
    <w:rsid w:val="008C0708"/>
    <w:rsid w:val="008C0E50"/>
    <w:rsid w:val="008C54CB"/>
    <w:rsid w:val="008D7C56"/>
    <w:rsid w:val="008E1786"/>
    <w:rsid w:val="008E2E6B"/>
    <w:rsid w:val="009243F6"/>
    <w:rsid w:val="00927E8E"/>
    <w:rsid w:val="009304BF"/>
    <w:rsid w:val="009444CD"/>
    <w:rsid w:val="0094606E"/>
    <w:rsid w:val="00955203"/>
    <w:rsid w:val="00974BAE"/>
    <w:rsid w:val="00977703"/>
    <w:rsid w:val="009802D7"/>
    <w:rsid w:val="009838D5"/>
    <w:rsid w:val="009878A2"/>
    <w:rsid w:val="00995DDE"/>
    <w:rsid w:val="00996995"/>
    <w:rsid w:val="009B4DC1"/>
    <w:rsid w:val="009B4E0E"/>
    <w:rsid w:val="009B6315"/>
    <w:rsid w:val="009C079B"/>
    <w:rsid w:val="009C0CCC"/>
    <w:rsid w:val="009D6704"/>
    <w:rsid w:val="00A17640"/>
    <w:rsid w:val="00A2785C"/>
    <w:rsid w:val="00A441D5"/>
    <w:rsid w:val="00A46E70"/>
    <w:rsid w:val="00A75801"/>
    <w:rsid w:val="00A80798"/>
    <w:rsid w:val="00A84216"/>
    <w:rsid w:val="00A947CF"/>
    <w:rsid w:val="00A95455"/>
    <w:rsid w:val="00AB353A"/>
    <w:rsid w:val="00AC3190"/>
    <w:rsid w:val="00AC5544"/>
    <w:rsid w:val="00AD3955"/>
    <w:rsid w:val="00AD484A"/>
    <w:rsid w:val="00AD5DF3"/>
    <w:rsid w:val="00AE304C"/>
    <w:rsid w:val="00B057B4"/>
    <w:rsid w:val="00B110CB"/>
    <w:rsid w:val="00B11C8B"/>
    <w:rsid w:val="00B1781B"/>
    <w:rsid w:val="00B26F66"/>
    <w:rsid w:val="00B2779D"/>
    <w:rsid w:val="00B31750"/>
    <w:rsid w:val="00B318BC"/>
    <w:rsid w:val="00B42076"/>
    <w:rsid w:val="00B46FCD"/>
    <w:rsid w:val="00B55321"/>
    <w:rsid w:val="00B57A50"/>
    <w:rsid w:val="00B639A0"/>
    <w:rsid w:val="00B64AA1"/>
    <w:rsid w:val="00B64D84"/>
    <w:rsid w:val="00B76368"/>
    <w:rsid w:val="00B84CE1"/>
    <w:rsid w:val="00B8586E"/>
    <w:rsid w:val="00B90B1A"/>
    <w:rsid w:val="00B9174C"/>
    <w:rsid w:val="00B940E9"/>
    <w:rsid w:val="00BB57F9"/>
    <w:rsid w:val="00BC4264"/>
    <w:rsid w:val="00BC4E30"/>
    <w:rsid w:val="00BD260A"/>
    <w:rsid w:val="00BE61DF"/>
    <w:rsid w:val="00C03507"/>
    <w:rsid w:val="00C07B0F"/>
    <w:rsid w:val="00C10811"/>
    <w:rsid w:val="00C14992"/>
    <w:rsid w:val="00C21BBA"/>
    <w:rsid w:val="00C221F3"/>
    <w:rsid w:val="00C27D49"/>
    <w:rsid w:val="00C30C48"/>
    <w:rsid w:val="00C40B5A"/>
    <w:rsid w:val="00C50E6B"/>
    <w:rsid w:val="00C51A36"/>
    <w:rsid w:val="00C5382B"/>
    <w:rsid w:val="00C64F2F"/>
    <w:rsid w:val="00C75DB3"/>
    <w:rsid w:val="00C8127E"/>
    <w:rsid w:val="00CA1668"/>
    <w:rsid w:val="00CA27F4"/>
    <w:rsid w:val="00CA66BA"/>
    <w:rsid w:val="00CB2675"/>
    <w:rsid w:val="00CD0849"/>
    <w:rsid w:val="00CE037E"/>
    <w:rsid w:val="00CE1C3A"/>
    <w:rsid w:val="00CE7E40"/>
    <w:rsid w:val="00CF1717"/>
    <w:rsid w:val="00CF6C9F"/>
    <w:rsid w:val="00D01199"/>
    <w:rsid w:val="00D0672A"/>
    <w:rsid w:val="00D0727C"/>
    <w:rsid w:val="00D1781B"/>
    <w:rsid w:val="00D2729D"/>
    <w:rsid w:val="00D4321F"/>
    <w:rsid w:val="00D50DF2"/>
    <w:rsid w:val="00D75FA4"/>
    <w:rsid w:val="00D84532"/>
    <w:rsid w:val="00D87116"/>
    <w:rsid w:val="00DA3FD6"/>
    <w:rsid w:val="00DB2E3D"/>
    <w:rsid w:val="00DB3A59"/>
    <w:rsid w:val="00DE238A"/>
    <w:rsid w:val="00DE453C"/>
    <w:rsid w:val="00E00646"/>
    <w:rsid w:val="00E039F8"/>
    <w:rsid w:val="00E23367"/>
    <w:rsid w:val="00E42F0D"/>
    <w:rsid w:val="00E50850"/>
    <w:rsid w:val="00E64EC0"/>
    <w:rsid w:val="00E71C6C"/>
    <w:rsid w:val="00E76F12"/>
    <w:rsid w:val="00E81BED"/>
    <w:rsid w:val="00E90EAA"/>
    <w:rsid w:val="00EA5707"/>
    <w:rsid w:val="00EC2EE1"/>
    <w:rsid w:val="00EC78B1"/>
    <w:rsid w:val="00EF0416"/>
    <w:rsid w:val="00F0420F"/>
    <w:rsid w:val="00F04CC0"/>
    <w:rsid w:val="00F118A7"/>
    <w:rsid w:val="00F21669"/>
    <w:rsid w:val="00F30521"/>
    <w:rsid w:val="00F41F6F"/>
    <w:rsid w:val="00F539AE"/>
    <w:rsid w:val="00F735AE"/>
    <w:rsid w:val="00F80713"/>
    <w:rsid w:val="00F80A55"/>
    <w:rsid w:val="00F864D6"/>
    <w:rsid w:val="00F914DF"/>
    <w:rsid w:val="00FA1311"/>
    <w:rsid w:val="00FA6B4D"/>
    <w:rsid w:val="00FD0B15"/>
    <w:rsid w:val="00FF054D"/>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71194D"/>
  <w14:defaultImageDpi w14:val="32767"/>
  <w15:chartTrackingRefBased/>
  <w15:docId w15:val="{5CE1C2F2-703C-C44D-9C31-5E07BE9F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E12A9"/>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E12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12A9"/>
    <w:rPr>
      <w:sz w:val="20"/>
      <w:szCs w:val="20"/>
      <w:lang w:val="en-US"/>
    </w:rPr>
  </w:style>
  <w:style w:type="character" w:styleId="FootnoteReference">
    <w:name w:val="footnote reference"/>
    <w:basedOn w:val="DefaultParagraphFont"/>
    <w:uiPriority w:val="99"/>
    <w:semiHidden/>
    <w:unhideWhenUsed/>
    <w:rsid w:val="005E12A9"/>
    <w:rPr>
      <w:vertAlign w:val="superscript"/>
    </w:rPr>
  </w:style>
  <w:style w:type="character" w:styleId="CommentReference">
    <w:name w:val="annotation reference"/>
    <w:basedOn w:val="DefaultParagraphFont"/>
    <w:uiPriority w:val="99"/>
    <w:semiHidden/>
    <w:unhideWhenUsed/>
    <w:rsid w:val="005E12A9"/>
    <w:rPr>
      <w:sz w:val="16"/>
      <w:szCs w:val="16"/>
    </w:rPr>
  </w:style>
  <w:style w:type="paragraph" w:styleId="CommentText">
    <w:name w:val="annotation text"/>
    <w:basedOn w:val="Normal"/>
    <w:link w:val="CommentTextChar"/>
    <w:uiPriority w:val="99"/>
    <w:semiHidden/>
    <w:unhideWhenUsed/>
    <w:rsid w:val="005E12A9"/>
    <w:pPr>
      <w:spacing w:line="240" w:lineRule="auto"/>
    </w:pPr>
    <w:rPr>
      <w:sz w:val="20"/>
      <w:szCs w:val="20"/>
    </w:rPr>
  </w:style>
  <w:style w:type="character" w:customStyle="1" w:styleId="CommentTextChar">
    <w:name w:val="Comment Text Char"/>
    <w:basedOn w:val="DefaultParagraphFont"/>
    <w:link w:val="CommentText"/>
    <w:uiPriority w:val="99"/>
    <w:semiHidden/>
    <w:rsid w:val="005E12A9"/>
    <w:rPr>
      <w:sz w:val="20"/>
      <w:szCs w:val="20"/>
      <w:lang w:val="en-US"/>
    </w:rPr>
  </w:style>
  <w:style w:type="paragraph" w:styleId="BalloonText">
    <w:name w:val="Balloon Text"/>
    <w:basedOn w:val="Normal"/>
    <w:link w:val="BalloonTextChar"/>
    <w:uiPriority w:val="99"/>
    <w:semiHidden/>
    <w:unhideWhenUsed/>
    <w:rsid w:val="005E12A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12A9"/>
    <w:rPr>
      <w:rFonts w:ascii="Times New Roman" w:hAnsi="Times New Roman" w:cs="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6205</Words>
  <Characters>35372</Characters>
  <Application>Microsoft Office Word</Application>
  <DocSecurity>0</DocSecurity>
  <Lines>294</Lines>
  <Paragraphs>82</Paragraphs>
  <ScaleCrop>false</ScaleCrop>
  <Company/>
  <LinksUpToDate>false</LinksUpToDate>
  <CharactersWithSpaces>41495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2</cp:revision>
  <dcterms:created xsi:type="dcterms:W3CDTF">2018-12-11T18:07:00Z</dcterms:created>
  <dcterms:modified xsi:type="dcterms:W3CDTF">2018-12-11T18:08:00Z</dcterms:modified>
</cp:coreProperties>
</file>