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Personal and career information</w:t>
      </w:r>
    </w:p>
    <w:p>
      <w:pPr>
        <w:pStyle w:val="Normal"/>
        <w:rPr/>
      </w:pPr>
      <w:r>
        <w:rPr/>
      </w:r>
    </w:p>
    <w:p>
      <w:pPr>
        <w:pStyle w:val="Normal"/>
        <w:rPr>
          <w:b/>
          <w:bCs/>
        </w:rPr>
      </w:pPr>
      <w:r>
        <w:rPr>
          <w:b/>
          <w:bCs/>
        </w:rPr>
        <w:t xml:space="preserve">Key qualifications: </w:t>
      </w:r>
      <w:r>
        <w:rPr>
          <w:b w:val="false"/>
          <w:bCs w:val="false"/>
        </w:rPr>
        <w:t>I hold a PhD in Politics from the European University Institute (awarded 2009). Previously I completed an MPhil in European Politics and Society at the University of Oxford (2004-2006), and a Ba (Hons.) (1</w:t>
      </w:r>
      <w:r>
        <w:rPr>
          <w:b w:val="false"/>
          <w:bCs w:val="false"/>
          <w:vertAlign w:val="superscript"/>
        </w:rPr>
        <w:t>st</w:t>
      </w:r>
      <w:r>
        <w:rPr>
          <w:b w:val="false"/>
          <w:bCs w:val="false"/>
        </w:rPr>
        <w:t xml:space="preserve"> class) degree in Politics, Philosophy and Economics at the University of Oxford. </w:t>
      </w:r>
    </w:p>
    <w:p>
      <w:pPr>
        <w:pStyle w:val="Normal"/>
        <w:rPr>
          <w:b/>
          <w:bCs/>
        </w:rPr>
      </w:pPr>
      <w:r>
        <w:rPr>
          <w:b/>
          <w:bCs/>
        </w:rPr>
        <w:t xml:space="preserve">Relevant positions held: </w:t>
      </w:r>
      <w:r>
        <w:rPr>
          <w:b w:val="false"/>
          <w:bCs w:val="false"/>
        </w:rPr>
        <w:t>I am currently Professor of Politics at Royal Holloway, University of London. I arrived at Royal Holloway in 2017. I was previously (2010 – 2017) Lecturer and subsequently Reader at the University of East Anglia.</w:t>
      </w:r>
    </w:p>
    <w:p>
      <w:pPr>
        <w:pStyle w:val="Normal"/>
        <w:rPr>
          <w:b/>
          <w:bCs/>
        </w:rPr>
      </w:pPr>
      <w:r>
        <w:rPr>
          <w:b/>
          <w:bCs/>
        </w:rPr>
        <w:t xml:space="preserve">Awards or prizes. </w:t>
      </w:r>
      <w:r>
        <w:rPr>
          <w:b w:val="false"/>
          <w:bCs w:val="false"/>
        </w:rPr>
        <w:t>My doctoral thesis, “The Political Independence of Public Service Broadcasters”, was awarded both the EUI Alumni Association prize for best thesis [</w:t>
      </w:r>
      <w:r>
        <w:rPr>
          <w:rFonts w:eastAsia="DejaVu Sans" w:cs="DejaVu Sans" w:ascii="DejaVu Sans" w:hAnsi="DejaVu Sans"/>
          <w:b w:val="false"/>
          <w:bCs w:val="false"/>
        </w:rPr>
        <w:t>€</w:t>
      </w:r>
      <w:r>
        <w:rPr>
          <w:b w:val="false"/>
          <w:bCs w:val="false"/>
        </w:rPr>
        <w:t>3,000] and inaugural Francois Mény prize for best comparative thesis on political institutions [</w:t>
      </w:r>
      <w:r>
        <w:rPr>
          <w:rFonts w:eastAsia="DejaVu Sans" w:cs="DejaVu Sans" w:ascii="DejaVu Sans" w:hAnsi="DejaVu Sans"/>
          <w:b w:val="false"/>
          <w:bCs w:val="false"/>
        </w:rPr>
        <w:t>€5</w:t>
      </w:r>
      <w:r>
        <w:rPr>
          <w:b w:val="false"/>
          <w:bCs w:val="false"/>
        </w:rPr>
        <w:t>,000]. During my doctoral study I was also awarded the Association for the Study of Modern Italy’s Graduate Essay Prize.</w:t>
      </w:r>
    </w:p>
    <w:p>
      <w:pPr>
        <w:pStyle w:val="Normal"/>
        <w:rPr>
          <w:b/>
          <w:bCs/>
        </w:rPr>
      </w:pPr>
      <w:r>
        <w:rPr>
          <w:b w:val="false"/>
          <w:bCs w:val="false"/>
        </w:rPr>
        <w:t>In 2019 I was awarded both the UK Political Studies Association Richard Rose Prize, for an early career scholar who has made “a distinctive contribution to British politics”, and the Philip Leverhulme Prize, awarded to “outstanding researchers whose work has already attracted international recognition and whose future career is exceptionally promising”.</w:t>
      </w:r>
    </w:p>
    <w:p>
      <w:pPr>
        <w:pStyle w:val="Normal"/>
        <w:rPr/>
      </w:pPr>
      <w:r>
        <w:rPr>
          <w:b/>
          <w:bCs/>
        </w:rPr>
        <w:t xml:space="preserve">Other relevant experience. </w:t>
      </w:r>
      <w:r>
        <w:rPr>
          <w:b w:val="false"/>
          <w:bCs w:val="false"/>
        </w:rPr>
        <w:t>I have good reading comprehension (but more limited written and oral production) in several different European languages (Italian, Spanish, French, Swedish).</w:t>
      </w:r>
    </w:p>
    <w:p>
      <w:pPr>
        <w:pStyle w:val="Heading1"/>
        <w:rPr/>
      </w:pPr>
      <w:r>
        <w:rPr/>
        <w:t>Generation of knowledge</w:t>
      </w:r>
    </w:p>
    <w:p>
      <w:pPr>
        <w:pStyle w:val="Normal"/>
        <w:rPr/>
      </w:pPr>
      <w:r>
        <w:rPr/>
      </w:r>
    </w:p>
    <w:p>
      <w:pPr>
        <w:pStyle w:val="Normal"/>
        <w:rPr/>
      </w:pPr>
      <w:r>
        <w:rPr/>
        <w:t xml:space="preserve">1/ </w:t>
      </w:r>
      <w:r>
        <w:rPr/>
        <w:t xml:space="preserve">Hanretty C (2012b). “Dissent in Iberia: the ideal points of justices on the Spanish and Portuguese Constitutional Tribunals.” </w:t>
      </w:r>
      <w:r>
        <w:rPr>
          <w:i/>
          <w:iCs/>
        </w:rPr>
        <w:t>European Journal of Political Research</w:t>
      </w:r>
      <w:r>
        <w:rPr/>
        <w:t>, 51(5), 671–692.</w:t>
      </w:r>
    </w:p>
    <w:p>
      <w:pPr>
        <w:pStyle w:val="Normal"/>
        <w:rPr/>
      </w:pPr>
      <w:r>
        <w:rPr/>
        <w:t xml:space="preserve">This paper works backwards from patterns of dissent between judges on two constitutional courts in order to infer their positions on a left-right spectrum. The key finding of the paper is not just that judges’ positions can be inferred from their “votes”, but that these positions match up with the positions of the political actors who appointed them. This research owes a great deal to the seminal work of Martin and Quinn on the United States Supreme Court, but my paper has been influential in turn as the first application of Bayesian techniques to decision-making on European constitutional courts. The paper has been cited in subsequent analyses of decision-making on Swedish, Norwegian, Estonian, Bulgarian and Italian courts. </w:t>
      </w:r>
    </w:p>
    <w:p>
      <w:pPr>
        <w:pStyle w:val="Normal"/>
        <w:rPr/>
      </w:pPr>
      <w:r>
        <w:rPr/>
        <w:t xml:space="preserve">2/ </w:t>
      </w:r>
      <w:r>
        <w:rPr/>
        <w:t xml:space="preserve">Hanretty C, Koop C (2018). “Political independence, accountability, and the quality of regulatory decision-making.” </w:t>
      </w:r>
      <w:r>
        <w:rPr>
          <w:i/>
          <w:iCs/>
        </w:rPr>
        <w:t>Comparative Political Studies</w:t>
      </w:r>
      <w:r>
        <w:rPr/>
        <w:t>, 51(1), 38–75.</w:t>
      </w:r>
    </w:p>
    <w:p>
      <w:pPr>
        <w:pStyle w:val="Normal"/>
        <w:rPr/>
      </w:pPr>
      <w:r>
        <w:rPr/>
        <w:t xml:space="preserve">This article was the culmination of three linked articles coauthored with Christel Koop on regulators’ </w:t>
      </w:r>
      <w:r>
        <w:rPr>
          <w:i/>
          <w:iCs/>
        </w:rPr>
        <w:t xml:space="preserve">de jure </w:t>
      </w:r>
      <w:r>
        <w:rPr/>
        <w:t xml:space="preserve">and </w:t>
      </w:r>
      <w:r>
        <w:rPr>
          <w:i/>
          <w:iCs/>
        </w:rPr>
        <w:t xml:space="preserve">de facto </w:t>
      </w:r>
      <w:r>
        <w:rPr/>
        <w:t xml:space="preserve">independence. Previous papers had examined de jure independence, and the link between de jure and de facto independence. In this paper we went beyond this link to examine whether greater independence actually led to better quality decision-making, as measured by regulator ratings published by the </w:t>
      </w:r>
      <w:r>
        <w:rPr>
          <w:i/>
          <w:iCs/>
        </w:rPr>
        <w:t>Global Competition Review</w:t>
      </w:r>
      <w:r>
        <w:rPr>
          <w:i w:val="false"/>
          <w:iCs w:val="false"/>
        </w:rPr>
        <w:t>, a specialist trade publication. The paper is important because it connects careful measurement to a normatively important debate – whether the greater power given to non-majoritarian institutions actually brings with it noticeable improvements in the quality of the work they do. We find that regulators with greater formal independence are indeed rated as performing better work.</w:t>
      </w:r>
    </w:p>
    <w:p>
      <w:pPr>
        <w:pStyle w:val="Normal"/>
        <w:rPr>
          <w:i w:val="false"/>
          <w:i w:val="false"/>
          <w:iCs w:val="false"/>
        </w:rPr>
      </w:pPr>
      <w:r>
        <w:rPr/>
      </w:r>
    </w:p>
    <w:p>
      <w:pPr>
        <w:pStyle w:val="Normal"/>
        <w:rPr/>
      </w:pPr>
      <w:r>
        <w:rPr/>
        <w:t xml:space="preserve">3/ Hanretty C, English P, Mellon J (2021). “Members of Parliament are minimally accountable for their issue stances (and they know it).” </w:t>
      </w:r>
      <w:r>
        <w:rPr>
          <w:i/>
          <w:iCs/>
        </w:rPr>
        <w:t>American Political Science Review</w:t>
      </w:r>
      <w:r>
        <w:rPr/>
        <w:t>, 115(4), 1275–1291.</w:t>
      </w:r>
    </w:p>
    <w:p>
      <w:pPr>
        <w:pStyle w:val="Normal"/>
        <w:rPr/>
      </w:pPr>
      <w:r>
        <w:rPr/>
        <w:t>In 2016, shortly after the UK’s referendum on membership of the European Union, I produced estimates of how each Westminster constituency had voted. My analysis (described more below in the section on broader societal impact) showed that most MPs were out of step with their constituents – but how would being “out-of-step” matter for those MPs’ re-election prospects? In this paper together with Jon Mellon and Patrick English, I showed that MPs’ positions mattered very little: MPs who had campaigned for “Remain” in the average Leave-supporting seat would have gained less than a percentage point had they instead supported Leave, as a majority of their constituents might have preferred. This on its own was an important finding – but we went further to poll MPs whether they thought MPs named in five survey vignettes would have done better by switching to match the position in their constituency. Whilst Leave-supporting MPs thought that MPs would have done better switching to Leave (and vice versa), the “average” MP thought that MPs would not have substantially increased their vote share by falling in line with their constituents.</w:t>
      </w:r>
    </w:p>
    <w:p>
      <w:pPr>
        <w:pStyle w:val="Normal"/>
        <w:rPr/>
      </w:pPr>
      <w:r>
        <w:rPr/>
      </w:r>
    </w:p>
    <w:p>
      <w:pPr>
        <w:pStyle w:val="Normal"/>
        <w:rPr/>
      </w:pPr>
      <w:r>
        <w:rPr/>
        <w:t xml:space="preserve">4/ Hanretty C (2020). </w:t>
      </w:r>
      <w:r>
        <w:rPr>
          <w:i/>
          <w:iCs/>
        </w:rPr>
        <w:t xml:space="preserve">A court of specialists: judicial behaviour on the UK Supreme Court. </w:t>
      </w:r>
      <w:r>
        <w:rPr/>
        <w:t>Oxford University Press, New York. ISBN 9780197509234</w:t>
      </w:r>
    </w:p>
    <w:p>
      <w:pPr>
        <w:pStyle w:val="Normal"/>
        <w:rPr>
          <w:rFonts w:ascii="Calibri" w:hAnsi="Calibri"/>
          <w:color w:val="000000"/>
          <w:sz w:val="22"/>
          <w:szCs w:val="22"/>
        </w:rPr>
      </w:pPr>
      <w:r>
        <w:rPr>
          <w:rFonts w:ascii="Calibri" w:hAnsi="Calibri"/>
          <w:i w:val="false"/>
          <w:iCs w:val="false"/>
          <w:color w:val="000000"/>
          <w:sz w:val="22"/>
          <w:szCs w:val="22"/>
        </w:rPr>
        <w:t>This book represented the culmination of seven years’ work on the Supreme Court of the United Kingdom, which was established in 2009 to replace the Appellate Committee of the House of Lords. The</w:t>
      </w:r>
      <w:r>
        <w:rPr>
          <w:rFonts w:ascii="Calibri" w:hAnsi="Calibri"/>
          <w:b w:val="false"/>
          <w:i w:val="false"/>
          <w:iCs w:val="false"/>
          <w:caps w:val="false"/>
          <w:smallCaps w:val="false"/>
          <w:color w:val="000000"/>
          <w:spacing w:val="0"/>
          <w:sz w:val="22"/>
          <w:szCs w:val="22"/>
        </w:rPr>
        <w:t xml:space="preserve"> first quantitative study of decision-making on the UK Supreme Court, it covers all aspects of the court's work—from selection of cases to final outcome. The book has been the subject of two author-meets-critics events at the (online) ICON-S conference and at Durham University.</w:t>
      </w:r>
    </w:p>
    <w:p>
      <w:pPr>
        <w:pStyle w:val="Normal"/>
        <w:rPr>
          <w:i w:val="false"/>
          <w:i w:val="false"/>
          <w:iCs w:val="false"/>
        </w:rPr>
      </w:pPr>
      <w:r>
        <w:rPr/>
      </w:r>
    </w:p>
    <w:p>
      <w:pPr>
        <w:pStyle w:val="Normal"/>
        <w:rPr/>
      </w:pPr>
      <w:r>
        <w:rPr/>
        <w:t xml:space="preserve">5/ </w:t>
      </w:r>
      <w:r>
        <w:rPr/>
        <w:t xml:space="preserve">Hanretty C (2022). “Party system polarization and the effective number of parties.” </w:t>
      </w:r>
      <w:r>
        <w:rPr>
          <w:i/>
          <w:iCs/>
        </w:rPr>
        <w:t>Electoral Studies</w:t>
      </w:r>
      <w:r>
        <w:rPr/>
        <w:t>, 76.</w:t>
      </w:r>
    </w:p>
    <w:p>
      <w:pPr>
        <w:pStyle w:val="Normal"/>
        <w:rPr/>
      </w:pPr>
      <w:r>
        <w:rPr/>
        <w:t xml:space="preserve">This paper extends the Shugart-Taagepera agenda (culminating in their 2017 book, </w:t>
      </w:r>
      <w:r>
        <w:rPr>
          <w:i/>
          <w:iCs/>
        </w:rPr>
        <w:t>Votes from Seats</w:t>
      </w:r>
      <w:r>
        <w:rPr>
          <w:i w:val="false"/>
          <w:iCs w:val="false"/>
        </w:rPr>
        <w:t xml:space="preserve">) to include a normatively relevant property of party systems, namely their polarization. In the article, I present a simple model of party system polarization based on a single input variable, namely the effective number of seat-winning parties. I show that the functional form of the relationship between the number of seat-winning parties and polarization follows the Bessel correction for sample variance. In practical terms, polarization increases steeply when moving from two to three seat-winning parties, and increases less steeply after that. The paper suggests that, for countries with assemblies of average size, most of the “cost” in terms of polarization comes when moving from very strongly majoritarian to weakly proportional electoral systems. </w:t>
      </w:r>
    </w:p>
    <w:p>
      <w:pPr>
        <w:pStyle w:val="Normal"/>
        <w:rPr/>
      </w:pPr>
      <w:r>
        <w:rPr/>
      </w:r>
    </w:p>
    <w:p>
      <w:pPr>
        <w:pStyle w:val="Heading1"/>
        <w:rPr/>
      </w:pPr>
      <w:r>
        <w:rPr/>
        <w:t>Human capacity development</w:t>
      </w:r>
    </w:p>
    <w:p>
      <w:pPr>
        <w:pStyle w:val="Normal"/>
        <w:rPr/>
      </w:pPr>
      <w:r>
        <w:rPr/>
      </w:r>
    </w:p>
    <w:p>
      <w:pPr>
        <w:pStyle w:val="Normal"/>
        <w:rPr/>
      </w:pPr>
      <w:r>
        <w:rPr>
          <w:b/>
          <w:bCs/>
        </w:rPr>
        <w:t>PhD supervision/examining.</w:t>
      </w:r>
      <w:r>
        <w:rPr/>
        <w:t xml:space="preserve"> My main contribution to the development of other academics has been through the supervision of PhD students. I’ve supervised three PhD students to completion, all of whom have gone on to excellent careers:</w:t>
      </w:r>
    </w:p>
    <w:p>
      <w:pPr>
        <w:pStyle w:val="Normal"/>
        <w:numPr>
          <w:ilvl w:val="0"/>
          <w:numId w:val="2"/>
        </w:numPr>
        <w:rPr/>
      </w:pPr>
      <w:r>
        <w:rPr/>
        <w:t xml:space="preserve">Between 2013 and 2017 I was supervisor to </w:t>
      </w:r>
      <w:r>
        <w:rPr>
          <w:b/>
          <w:bCs/>
        </w:rPr>
        <w:t xml:space="preserve">Francesca Vantaggiato, </w:t>
      </w:r>
      <w:r>
        <w:rPr>
          <w:b w:val="false"/>
          <w:bCs w:val="false"/>
        </w:rPr>
        <w:t>whose thesis “Networks as Levers: Emergence, Functioning and Export of Transnational Networks of Energy Regulations” was passed without corrections. Francesca was supervised jointly with Hussein Kassim. Following her PhD, Francesca started post-doctoral study at Center for Environmental Policy and Behavior at the University of California, Davis. She is now a Senior Lecturer in Public Policy at King’s College London.</w:t>
      </w:r>
    </w:p>
    <w:p>
      <w:pPr>
        <w:pStyle w:val="Normal"/>
        <w:numPr>
          <w:ilvl w:val="0"/>
          <w:numId w:val="2"/>
        </w:numPr>
        <w:rPr/>
      </w:pPr>
      <w:r>
        <w:rPr>
          <w:b w:val="false"/>
          <w:bCs w:val="false"/>
        </w:rPr>
        <w:t xml:space="preserve">Between 2018 and 2021 I was supervisor to </w:t>
      </w:r>
      <w:r>
        <w:rPr>
          <w:b/>
          <w:bCs/>
        </w:rPr>
        <w:t>Ben Lobo</w:t>
      </w:r>
      <w:r>
        <w:rPr>
          <w:b w:val="false"/>
          <w:bCs w:val="false"/>
        </w:rPr>
        <w:t>, whose thesis “Can we improve multilevel regression and poststratification (MRP) through new ways to leverage information?” was passed without corrections. Ben’s PhD study was part-funded by the polling company Survation. Ben was supervised jointly with Oliver Heath. Following his PhD, Ben went on to work as a Data Scientist for the public opinion research company FocalData.</w:t>
      </w:r>
    </w:p>
    <w:p>
      <w:pPr>
        <w:pStyle w:val="Normal"/>
        <w:numPr>
          <w:ilvl w:val="0"/>
          <w:numId w:val="2"/>
        </w:numPr>
        <w:rPr/>
      </w:pPr>
      <w:r>
        <w:rPr>
          <w:b w:val="false"/>
          <w:bCs w:val="false"/>
        </w:rPr>
        <w:t xml:space="preserve">Between 2018 and 2023 I was supervisor to </w:t>
      </w:r>
      <w:r>
        <w:rPr>
          <w:b/>
          <w:bCs/>
        </w:rPr>
        <w:t>Laura Serra</w:t>
      </w:r>
      <w:r>
        <w:rPr>
          <w:b w:val="false"/>
          <w:bCs w:val="false"/>
        </w:rPr>
        <w:t>, whose thesis “Assessing the widening age gap in British partisanship: the impact of values, maturation, and political mobilization” was passed with minor corrections. Laura’s PhD study was part-funded by the polling company Survation. Laura was supervised jointly with Oliver Heath. Following her PhD, Laura went on to start post-doctoral study at the London School of Economics and Political Science.</w:t>
      </w:r>
    </w:p>
    <w:p>
      <w:pPr>
        <w:pStyle w:val="Normal"/>
        <w:rPr/>
      </w:pPr>
      <w:r>
        <w:rPr>
          <w:b w:val="false"/>
          <w:bCs w:val="false"/>
        </w:rPr>
        <w:t xml:space="preserve">Between 2016 and 2017 I supervised (jointly with Toby James) Scott Rawlinson, who was researching local Labour parties in the post-war period, but this supervision ended when I moved from the University of East Anglia to Royal Holloway. </w:t>
      </w:r>
    </w:p>
    <w:p>
      <w:pPr>
        <w:pStyle w:val="Normal"/>
        <w:rPr/>
      </w:pPr>
      <w:r>
        <w:rPr/>
        <w:t xml:space="preserve">I currently supervise two PhD students: Tom Barton (2019-), who has recently submitted his thesis “The Impact of Voter Identification Laws on Participation and Perceptions of Electoral Integrity: An International Study”, and Vasil Lazarov (2023-), whose PhD study is funded by the polling company Survation. </w:t>
      </w:r>
    </w:p>
    <w:p>
      <w:pPr>
        <w:pStyle w:val="Normal"/>
        <w:rPr/>
      </w:pPr>
      <w:r>
        <w:rPr/>
        <w:t xml:space="preserve">I have additionally acted as an examiner for five PhD students: two (Lewis Graham [Cambridge], Simone Schroff [UEA]) in departments of law, two in departments of politics (Phillip Schroeder [UCL], Amy Smith [Royal Holloway]) and one in a department of methodology (Tom Pashkalis [LSE]). </w:t>
      </w:r>
    </w:p>
    <w:p>
      <w:pPr>
        <w:pStyle w:val="Normal"/>
        <w:rPr/>
      </w:pPr>
      <w:r>
        <w:rPr>
          <w:b/>
          <w:bCs/>
        </w:rPr>
        <w:t xml:space="preserve">Administrative roles. </w:t>
      </w:r>
      <w:r>
        <w:rPr/>
        <w:t xml:space="preserve">I’ve contributed to the management of my own department: between 2018/19 and 2019/20 I served as Head of School (HoS) for the School of Politics, International Relations and Philosophy at Royal Holloway, University of London. As HoS I was responsible for line managing staff across two separate disciplines, </w:t>
      </w:r>
      <w:r>
        <w:rPr/>
        <w:t xml:space="preserve">appraising staff, </w:t>
      </w:r>
      <w:r>
        <w:rPr/>
        <w:t>and facilitating the transition from a faculty-based model of governance to a school-based model which would bring the study of politics, international relations and philosophy together with law, economics and criminology to create a School of Law and Social Sciences.</w:t>
      </w:r>
    </w:p>
    <w:p>
      <w:pPr>
        <w:pStyle w:val="Normal"/>
        <w:rPr>
          <w:b/>
          <w:bCs/>
        </w:rPr>
      </w:pPr>
      <w:r>
        <w:rPr>
          <w:b/>
          <w:bCs/>
        </w:rPr>
        <w:t xml:space="preserve">Formal mentorship. </w:t>
      </w:r>
      <w:r>
        <w:rPr>
          <w:b w:val="false"/>
          <w:bCs w:val="false"/>
        </w:rPr>
        <w:t xml:space="preserve">I have acted as a mentor to new hires within my department, to junior colleagues as part of a cross-departmental mentorship scheme, and to junior researchers as part of conference-specific mentorship programmes linked to pre-conference events. In this I have benefited from internal training programmes on unconscious bias, mentorship, and my own reading on gendered patterns of promotion. </w:t>
      </w:r>
    </w:p>
    <w:p>
      <w:pPr>
        <w:pStyle w:val="Normal"/>
        <w:rPr>
          <w:b/>
          <w:bCs/>
        </w:rPr>
      </w:pPr>
      <w:r>
        <w:rPr>
          <w:b/>
          <w:bCs/>
        </w:rPr>
        <w:t xml:space="preserve">Internal training programmes. </w:t>
      </w:r>
      <w:r>
        <w:rPr>
          <w:b w:val="false"/>
          <w:bCs w:val="false"/>
        </w:rPr>
        <w:t xml:space="preserve">I have consistently provided internal and external training programmes to students and staff. At the University of East Anglia I ran repeat (2013, 2014, 2017) short courses for doctoral students on scraping the web (course booklet here). At Royal Holloway I ran I ran a short (two-day) course for staff at Royal Holloway showing how to convert from SPSS/Stata to the R statistical environment (course materials at </w:t>
      </w:r>
      <w:hyperlink r:id="rId2">
        <w:r>
          <w:rPr>
            <w:rStyle w:val="InternetLink"/>
            <w:b w:val="false"/>
            <w:bCs w:val="false"/>
          </w:rPr>
          <w:t>http://chrishanretty.co.uk/conveRt/</w:t>
        </w:r>
      </w:hyperlink>
      <w:r>
        <w:rPr>
          <w:b w:val="false"/>
          <w:bCs w:val="false"/>
        </w:rPr>
        <w:t xml:space="preserve">). For the University of Oxford I taught a short course on multilevel regression and post-stratification as part of the Oxford Spring School in Advanced Research Methods (course materials at </w:t>
      </w:r>
      <w:hyperlink r:id="rId3">
        <w:r>
          <w:rPr>
            <w:rStyle w:val="InternetLink"/>
            <w:b w:val="false"/>
            <w:bCs w:val="false"/>
          </w:rPr>
          <w:t>https://github.com/chrishanretty/oxfordmrp</w:t>
        </w:r>
      </w:hyperlink>
      <w:r>
        <w:rPr>
          <w:b w:val="false"/>
          <w:bCs w:val="false"/>
        </w:rPr>
        <w:t>). As a member of the Scottish Election Study, I am delivering a hands-on workshop on multilevel regression and post-stratification for grant members, including both co-investigators and post-doctoral students.</w:t>
      </w:r>
    </w:p>
    <w:p>
      <w:pPr>
        <w:pStyle w:val="Heading1"/>
        <w:rPr/>
      </w:pPr>
      <w:r>
        <w:rPr/>
        <w:t>Scientific impact</w:t>
      </w:r>
    </w:p>
    <w:p>
      <w:pPr>
        <w:pStyle w:val="Normal"/>
        <w:rPr/>
      </w:pPr>
      <w:r>
        <w:rPr/>
      </w:r>
    </w:p>
    <w:p>
      <w:pPr>
        <w:pStyle w:val="Normal"/>
        <w:rPr>
          <w:b/>
          <w:bCs/>
        </w:rPr>
      </w:pPr>
      <w:r>
        <w:rPr>
          <w:b/>
          <w:bCs/>
        </w:rPr>
        <w:t>Contributing to the growth of subfields</w:t>
      </w:r>
      <w:r>
        <w:rPr>
          <w:b w:val="false"/>
          <w:bCs w:val="false"/>
        </w:rPr>
        <w:t xml:space="preserve">. Between 2015 and 2019 I served as the Convenor for the ECPR Law and Politics Standing Group. In this role I boosted the average number of papers presented in this section at ECPR General Conferences by forty percent. The Standing Group is now a vibrant and integral part of the General Conference. </w:t>
      </w:r>
    </w:p>
    <w:p>
      <w:pPr>
        <w:pStyle w:val="Normal"/>
        <w:rPr/>
      </w:pPr>
      <w:r>
        <w:rPr>
          <w:b/>
          <w:bCs/>
        </w:rPr>
        <w:t>Contributing to a more representative discipline.</w:t>
      </w:r>
      <w:r>
        <w:rPr/>
        <w:t xml:space="preserve"> </w:t>
      </w:r>
      <w:r>
        <w:rPr/>
        <w:t xml:space="preserve">During the pandemic, I produced a report for the Political Studies Association (PSA) and the British International Studies Association (BISA) on the career trajectories of staff in departments of politics and international relations. The report drew on Higher Education Statistics Agency data for the period 2012/13 to 2018/19, and provided authoritative figures on the gender and ethnicity breakdown of staff in politics departments overall and by level of seniority. Incredibly, this was the first time such data had been produced for UK departments. </w:t>
      </w:r>
    </w:p>
    <w:p>
      <w:pPr>
        <w:pStyle w:val="Normal"/>
        <w:rPr>
          <w:b/>
          <w:bCs/>
        </w:rPr>
      </w:pPr>
      <w:r>
        <w:rPr>
          <w:b/>
          <w:bCs/>
        </w:rPr>
        <w:t xml:space="preserve">Producing software resources for others to use. </w:t>
      </w:r>
      <w:r>
        <w:rPr>
          <w:b w:val="false"/>
          <w:bCs w:val="false"/>
        </w:rPr>
        <w:t xml:space="preserve">I’ve gone above and beyond to ensure that the techniques that I use in my research are made available to others in an easy-to-use format. I am the author of two software packages for the R statistical environment: sharesimulatoR, a package to simulate party systems, and hrr, a package for hierarchical related regression and (some forms of) multilevel regression and post-stratification. I previously published an R package which helped R users to process and resolve British parliamentary constituency names. </w:t>
      </w:r>
    </w:p>
    <w:p>
      <w:pPr>
        <w:pStyle w:val="Normal"/>
        <w:rPr>
          <w:b/>
          <w:bCs/>
        </w:rPr>
      </w:pPr>
      <w:r>
        <w:rPr>
          <w:b/>
          <w:bCs/>
        </w:rPr>
        <w:t xml:space="preserve">Contributing to peer review of varied kinds. </w:t>
      </w:r>
      <w:r>
        <w:rPr>
          <w:b w:val="false"/>
          <w:bCs w:val="false"/>
        </w:rPr>
        <w:t>I am a member of the editorial board of two journals (</w:t>
      </w:r>
      <w:r>
        <w:rPr>
          <w:b w:val="false"/>
          <w:bCs w:val="false"/>
          <w:i/>
          <w:iCs/>
        </w:rPr>
        <w:t>Electoral Studies</w:t>
      </w:r>
      <w:r>
        <w:rPr>
          <w:b w:val="false"/>
          <w:bCs w:val="false"/>
          <w:i w:val="false"/>
          <w:iCs w:val="false"/>
        </w:rPr>
        <w:t xml:space="preserve"> and the </w:t>
      </w:r>
      <w:r>
        <w:rPr>
          <w:b w:val="false"/>
          <w:bCs w:val="false"/>
          <w:i/>
          <w:iCs/>
        </w:rPr>
        <w:t>Journal of Law and Courts</w:t>
      </w:r>
      <w:r>
        <w:rPr>
          <w:b w:val="false"/>
          <w:bCs w:val="false"/>
          <w:i w:val="false"/>
          <w:iCs w:val="false"/>
        </w:rPr>
        <w:t xml:space="preserve">). I have reviewed for more than fifty different journals, six national or international funding bodies, and have reviewed tenure and promotion applications for universities in the United States, Jamaica and the United Kingdom. </w:t>
      </w:r>
    </w:p>
    <w:p>
      <w:pPr>
        <w:pStyle w:val="Normal"/>
        <w:rPr/>
      </w:pPr>
      <w:r>
        <w:rPr/>
      </w:r>
    </w:p>
    <w:p>
      <w:pPr>
        <w:pStyle w:val="Heading1"/>
        <w:rPr/>
      </w:pPr>
      <w:r>
        <w:rPr/>
        <w:t>Broader society</w:t>
      </w:r>
    </w:p>
    <w:p>
      <w:pPr>
        <w:pStyle w:val="Normal"/>
        <w:rPr/>
      </w:pPr>
      <w:r>
        <w:rPr/>
      </w:r>
    </w:p>
    <w:p>
      <w:pPr>
        <w:pStyle w:val="Normal"/>
        <w:rPr/>
      </w:pPr>
      <w:r>
        <w:rPr/>
        <w:t xml:space="preserve">I have contributed to broader public understanding of electoral behaviour through engagement with print and broadcast media in the UK and internationally. In 2015, I was the polling analyst for the BBC2 current affairs programme </w:t>
      </w:r>
      <w:r>
        <w:rPr>
          <w:i/>
          <w:iCs/>
        </w:rPr>
        <w:t>Newsnight</w:t>
      </w:r>
      <w:r>
        <w:rPr/>
        <w:t xml:space="preserve">: election forecasts which I produced for that programme together with Ben Lauderdale and Nick Vivyan were key in shaping that programme’s narrative concerning the election, even though the forecasts were eventually confounded when the Conservative party won an unexpected majority in the election. </w:t>
      </w:r>
    </w:p>
    <w:p>
      <w:pPr>
        <w:pStyle w:val="Normal"/>
        <w:rPr/>
      </w:pPr>
      <w:r>
        <w:rPr/>
        <w:t>One year later, following the UK’s referendum on membership of the European Union, I produced estimates of how individual constituencies had voted in the referendum. These estimates – necessary because the referendum had been counted at the level of local authorities rather than Westminster constituencies – have become quasi-official records of how constituencies voted, and have been cited in the House of Commons, in the media, and in authoritative constituency profiles (</w:t>
      </w:r>
      <w:r>
        <w:rPr>
          <w:i/>
          <w:iCs/>
        </w:rPr>
        <w:t>The Times Guide to the House of Commons</w:t>
      </w:r>
      <w:r>
        <w:rPr/>
        <w:t>, materials produced by the House of Commons Library). For better or worse, they have shaped how MPs reacted to the referendum result in their area.</w:t>
      </w:r>
    </w:p>
    <w:p>
      <w:pPr>
        <w:pStyle w:val="Normal"/>
        <w:widowControl/>
        <w:bidi w:val="0"/>
        <w:spacing w:lineRule="auto" w:line="259" w:before="0" w:after="160"/>
        <w:jc w:val="left"/>
        <w:rPr/>
      </w:pPr>
      <w:r>
        <w:rPr/>
        <w:t xml:space="preserve">Since the referendum I have been working with Survation, a leading polling company, helping them produce MRP-based estimates of constituency vote intention and issue opinion for a range of clients between and during election periods. As part of this work I’ve run training events for Survation staff, helping them to transition from older software (SPSS) to newer open source software (R) and software versioning (GitHub). This (commercial) work overlaps with my broader commitment to making it easier to produce estimates of local area opinion. </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DejaVu Sans">
    <w:charset w:val="01"/>
    <w:family w:val="swiss"/>
    <w:pitch w:val="default"/>
  </w:font>
  <w:font w:name="Calibri">
    <w:charset w:val="01"/>
    <w:family w:val="swiss"/>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rsid w:val="00c93aca"/>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93aca"/>
    <w:rPr>
      <w:rFonts w:ascii="Calibri Light" w:hAnsi="Calibri Light" w:eastAsia="" w:cs="" w:asciiTheme="majorHAnsi" w:cstheme="majorBidi" w:eastAsiaTheme="majorEastAsia" w:hAnsiTheme="majorHAnsi"/>
      <w:color w:val="2F5496" w:themeColor="accent1" w:themeShade="bf"/>
      <w:sz w:val="32"/>
      <w:szCs w:val="32"/>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chrishanretty.co.uk/conveRt/" TargetMode="External"/><Relationship Id="rId3" Type="http://schemas.openxmlformats.org/officeDocument/2006/relationships/hyperlink" Target="https://github.com/chrishanretty/oxfordmrp"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Application>LibreOffice/7.5.5.2$Linux_X86_64 LibreOffice_project/50$Build-2</Application>
  <AppVersion>15.0000</AppVersion>
  <Pages>5</Pages>
  <Words>2179</Words>
  <Characters>12259</Characters>
  <CharactersWithSpaces>14413</CharactersWithSpaces>
  <Paragraphs>37</Paragraphs>
  <Company>Royal Holloway University of London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2023-09-11T13:22:00Z</dcterms:created>
  <dc:creator>Hanretty, Chris</dc:creator>
  <dc:description/>
  <dc:language>en-US</dc:language>
  <cp:lastModifiedBy/>
  <dcterms:modified xsi:type="dcterms:W3CDTF">2023-09-11T20:33:29Z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