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9.0 -->
  <w:body>
    <w:p w:rsidR="00D841F2" w:rsidP="00236273" w14:paraId="6A83BE5F" w14:textId="77777777">
      <w:bookmarkStart w:id="0"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1.Customer Onboarding BM - Notification (Clear)</w:t>
      </w:r>
      <w:bookmarkEnd w:id="0"/>
    </w:p>
    <w:p w:rsidR="00AB6BA6" w:rsidRPr="00AB6BA6" w:rsidP="00506961" w14:paraId="4E2CC0C8" w14:textId="4F187178">
      <w:pPr>
        <w:pStyle w:val="SublineHeader"/>
        <w:outlineLvl w:val="9"/>
        <w:rPr>
          <w:rFonts w:ascii="Times New Roman" w:hAnsi="Times New Roman"/>
          <w:sz w:val="24"/>
        </w:rPr>
      </w:pPr>
      <w:r w:rsidRPr="00AB6BA6">
        <w:t>Wholesale Host to Host</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Sep 17, 2026</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14:paraId="78133F3A" w14:textId="5BC02ED2">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Customer Onboarding BM - Notification</w:t>
          </w:r>
          <w:r>
            <w:tab/>
          </w:r>
          <w:r>
            <w:fldChar w:fldCharType="begin"/>
          </w:r>
          <w:r>
            <w:instrText xml:space="preserve"> PAGEREF _Toc256000000 \h </w:instrText>
          </w:r>
          <w:r>
            <w:fldChar w:fldCharType="separate"/>
          </w:r>
          <w:r>
            <w:t>3</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Template</w:t>
          </w:r>
          <w:r>
            <w:tab/>
          </w:r>
          <w:r>
            <w:fldChar w:fldCharType="begin"/>
          </w:r>
          <w:r>
            <w:instrText xml:space="preserve"> PAGEREF _Toc256000001 \h </w:instrText>
          </w:r>
          <w:r>
            <w:fldChar w:fldCharType="separate"/>
          </w:r>
          <w:r>
            <w:t>4</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pStyle w:val="Heading1"/>
      </w:pPr>
      <w:bookmarkStart w:id="1" w:name="scroll-bookmark-1"/>
      <w:bookmarkEnd w:id="1"/>
      <w:bookmarkStart w:id="2" w:name="scroll-bookmark-2"/>
      <w:bookmarkStart w:id="3" w:name="_Toc256000000"/>
      <w:r>
        <w:t>Customer Onboarding BM - Notification</w:t>
      </w:r>
      <w:bookmarkEnd w:id="3"/>
      <w:bookmarkEnd w:id="2"/>
    </w:p>
    <w:p/>
    <w:tbl>
      <w:tblPr>
        <w:tblStyle w:val="ScrollTableNormal"/>
        <w:tblW w:w="5000" w:type="pct"/>
        <w:tblLook w:val="0020"/>
      </w:tblPr>
      <w:tblGrid>
        <w:gridCol w:w="931"/>
        <w:gridCol w:w="1242"/>
        <w:gridCol w:w="1265"/>
        <w:gridCol w:w="1061"/>
        <w:gridCol w:w="825"/>
        <w:gridCol w:w="758"/>
        <w:gridCol w:w="746"/>
        <w:gridCol w:w="855"/>
        <w:gridCol w:w="80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Feature</w:t>
            </w:r>
          </w:p>
        </w:tc>
        <w:tc>
          <w:tcPr/>
          <w:p>
            <w:pPr>
              <w:numPr>
                <w:ilvl w:val="0"/>
                <w:numId w:val="0"/>
              </w:numPr>
              <w:spacing w:before="0" w:beforeAutospacing="0" w:after="120" w:afterAutospacing="0" w:line="240" w:lineRule="auto"/>
              <w:ind w:left="0" w:right="0" w:firstLine="0"/>
              <w:jc w:val="left"/>
              <w:outlineLvl w:val="9"/>
            </w:pPr>
            <w:r>
              <w:t>Admin/Financial Transaction</w:t>
            </w:r>
          </w:p>
        </w:tc>
        <w:tc>
          <w:tcPr/>
          <w:p>
            <w:pPr>
              <w:numPr>
                <w:ilvl w:val="0"/>
                <w:numId w:val="0"/>
              </w:numPr>
              <w:spacing w:before="0" w:beforeAutospacing="0" w:after="120" w:afterAutospacing="0" w:line="240" w:lineRule="auto"/>
              <w:ind w:left="0" w:right="0" w:firstLine="0"/>
              <w:jc w:val="left"/>
              <w:outlineLvl w:val="9"/>
            </w:pPr>
            <w:r>
              <w:t>High-risk Notification(Y/N)</w:t>
            </w:r>
          </w:p>
        </w:tc>
        <w:tc>
          <w:tcPr/>
          <w:p>
            <w:pPr>
              <w:numPr>
                <w:ilvl w:val="0"/>
                <w:numId w:val="0"/>
              </w:numPr>
              <w:spacing w:before="0" w:beforeAutospacing="0" w:after="120" w:afterAutospacing="0" w:line="240" w:lineRule="auto"/>
              <w:ind w:left="0" w:right="0" w:firstLine="0"/>
              <w:jc w:val="left"/>
              <w:outlineLvl w:val="9"/>
            </w:pPr>
            <w:r>
              <w:t>Template or behaviour aligns with BCO (Yes/New/NA)</w:t>
            </w:r>
          </w:p>
        </w:tc>
        <w:tc>
          <w:tcPr/>
          <w:p>
            <w:pPr>
              <w:numPr>
                <w:ilvl w:val="0"/>
                <w:numId w:val="0"/>
              </w:numPr>
              <w:spacing w:before="0" w:beforeAutospacing="0" w:after="120" w:afterAutospacing="0" w:line="240" w:lineRule="auto"/>
              <w:ind w:left="0" w:right="0" w:firstLine="0"/>
              <w:jc w:val="left"/>
              <w:outlineLvl w:val="9"/>
            </w:pPr>
            <w:r>
              <w:t>Triggering Point</w:t>
            </w:r>
          </w:p>
        </w:tc>
        <w:tc>
          <w:tcPr/>
          <w:p>
            <w:pPr>
              <w:numPr>
                <w:ilvl w:val="0"/>
                <w:numId w:val="0"/>
              </w:numPr>
              <w:spacing w:before="0" w:beforeAutospacing="0" w:after="120" w:afterAutospacing="0" w:line="240" w:lineRule="auto"/>
              <w:ind w:left="0" w:right="0" w:firstLine="0"/>
              <w:jc w:val="left"/>
              <w:outlineLvl w:val="9"/>
            </w:pPr>
            <w:r>
              <w:t>Recipient</w:t>
            </w:r>
          </w:p>
        </w:tc>
        <w:tc>
          <w:tcPr/>
          <w:p>
            <w:pPr>
              <w:numPr>
                <w:ilvl w:val="0"/>
                <w:numId w:val="0"/>
              </w:numPr>
              <w:spacing w:before="0" w:beforeAutospacing="0" w:after="120" w:afterAutospacing="0" w:line="240" w:lineRule="auto"/>
              <w:ind w:left="0" w:right="0" w:firstLine="0"/>
              <w:jc w:val="left"/>
              <w:outlineLvl w:val="9"/>
            </w:pPr>
            <w:r>
              <w:t>Template</w:t>
            </w:r>
          </w:p>
        </w:tc>
        <w:tc>
          <w:tcPr/>
          <w:p>
            <w:pPr>
              <w:numPr>
                <w:ilvl w:val="0"/>
                <w:numId w:val="0"/>
              </w:numPr>
              <w:spacing w:before="0" w:beforeAutospacing="0" w:after="120" w:afterAutospacing="0" w:line="240" w:lineRule="auto"/>
              <w:ind w:left="0" w:right="0" w:firstLine="0"/>
              <w:jc w:val="left"/>
              <w:outlineLvl w:val="9"/>
            </w:pPr>
            <w:r>
              <w:t>Remark</w:t>
            </w:r>
          </w:p>
        </w:tc>
        <w:tc>
          <w:tcPr/>
          <w:p>
            <w:pPr>
              <w:numPr>
                <w:ilvl w:val="0"/>
                <w:numId w:val="0"/>
              </w:numPr>
              <w:spacing w:before="0" w:beforeAutospacing="0" w:after="120" w:afterAutospacing="0" w:line="240" w:lineRule="auto"/>
              <w:ind w:left="0" w:right="0" w:firstLine="0"/>
              <w:jc w:val="left"/>
              <w:outlineLvl w:val="9"/>
            </w:pPr>
            <w:r>
              <w:t>Jira</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Customer onboarding - BM Corporate HTH Management - enable</w:t>
            </w:r>
          </w:p>
        </w:tc>
        <w:tc>
          <w:tcPr/>
          <w:p>
            <w:pPr>
              <w:numPr>
                <w:ilvl w:val="0"/>
                <w:numId w:val="0"/>
              </w:numPr>
              <w:spacing w:before="0" w:beforeAutospacing="0" w:after="120" w:afterAutospacing="0" w:line="240" w:lineRule="auto"/>
              <w:ind w:left="0" w:right="0" w:firstLine="0"/>
              <w:jc w:val="left"/>
              <w:outlineLvl w:val="9"/>
            </w:pPr>
            <w:r>
              <w:t>Admin</w:t>
            </w:r>
          </w:p>
        </w:tc>
        <w:tc>
          <w:tcPr/>
          <w:p>
            <w:pPr>
              <w:numPr>
                <w:ilvl w:val="0"/>
                <w:numId w:val="0"/>
              </w:numPr>
              <w:spacing w:before="0" w:beforeAutospacing="0" w:after="120" w:afterAutospacing="0" w:line="240" w:lineRule="auto"/>
              <w:ind w:left="0" w:right="0" w:firstLine="0"/>
              <w:jc w:val="left"/>
              <w:outlineLvl w:val="9"/>
            </w:pPr>
            <w:r>
              <w:t>Y</w:t>
            </w:r>
          </w:p>
        </w:tc>
        <w:tc>
          <w:tcPr/>
          <w:p>
            <w:pPr>
              <w:numPr>
                <w:ilvl w:val="0"/>
                <w:numId w:val="0"/>
              </w:numPr>
              <w:spacing w:before="0" w:beforeAutospacing="0" w:after="120" w:afterAutospacing="0" w:line="240" w:lineRule="auto"/>
              <w:ind w:left="0" w:right="0" w:firstLine="0"/>
              <w:jc w:val="left"/>
              <w:outlineLvl w:val="9"/>
            </w:pPr>
            <w:r>
              <w:rPr>
                <w:color w:val="172B4D"/>
              </w:rPr>
              <w:t>New</w:t>
            </w:r>
          </w:p>
        </w:tc>
        <w:tc>
          <w:tcPr/>
          <w:p>
            <w:pPr>
              <w:numPr>
                <w:ilvl w:val="0"/>
                <w:numId w:val="0"/>
              </w:numPr>
              <w:spacing w:before="0" w:beforeAutospacing="0" w:after="120" w:afterAutospacing="0" w:line="240" w:lineRule="auto"/>
              <w:ind w:left="0" w:right="0" w:firstLine="0"/>
              <w:jc w:val="left"/>
              <w:outlineLvl w:val="9"/>
            </w:pPr>
            <w:r>
              <w:t>Approved via BCO BM</w:t>
            </w:r>
            <w:r>
              <w:br/>
            </w:r>
            <w:r>
              <w:t>Only single-level approval</w:t>
            </w:r>
          </w:p>
        </w:tc>
        <w:tc>
          <w:tcPr/>
          <w:p>
            <w:pPr>
              <w:numPr>
                <w:ilvl w:val="0"/>
                <w:numId w:val="0"/>
              </w:numPr>
              <w:spacing w:before="0" w:beforeAutospacing="0" w:after="120" w:afterAutospacing="0" w:line="240" w:lineRule="auto"/>
              <w:ind w:left="0" w:right="0" w:firstLine="0"/>
              <w:jc w:val="left"/>
              <w:outlineLvl w:val="9"/>
            </w:pPr>
            <w:r>
              <w:rPr>
                <w:color w:val="000000"/>
              </w:rPr>
              <w:t xml:space="preserve">Company Email </w:t>
            </w:r>
            <w:r>
              <w:rPr>
                <w:color w:val="FF0000"/>
              </w:rPr>
              <w:t>or</w:t>
            </w:r>
            <w:r>
              <w:rPr>
                <w:color w:val="000000"/>
              </w:rPr>
              <w:t xml:space="preserve"> Mobile Number</w:t>
            </w:r>
          </w:p>
        </w:tc>
        <w:tc>
          <w:tcPr/>
          <w:p>
            <w:pPr>
              <w:numPr>
                <w:ilvl w:val="0"/>
                <w:numId w:val="0"/>
              </w:numPr>
              <w:spacing w:before="0" w:beforeAutospacing="0" w:after="120" w:afterAutospacing="0" w:line="240" w:lineRule="auto"/>
              <w:ind w:left="0" w:right="0" w:firstLine="0"/>
              <w:jc w:val="left"/>
              <w:outlineLvl w:val="9"/>
            </w:pPr>
            <w:r>
              <w:t>#1</w:t>
            </w:r>
          </w:p>
        </w:tc>
        <w:tc>
          <w:tcPr/>
          <w:p>
            <w:pPr>
              <w:spacing w:before="0" w:beforeAutospacing="0" w:after="120" w:afterAutospacing="0" w:line="240" w:lineRule="auto"/>
              <w:ind w:left="0" w:right="0" w:firstLine="0"/>
              <w:jc w:val="left"/>
              <w:outlineLvl w:val="9"/>
            </w:pPr>
            <w:r>
              <w:t>Send email first; if unavailable, send SMS; otherwise, no notification.</w:t>
            </w:r>
          </w:p>
          <w:p>
            <w:pPr>
              <w:numPr>
                <w:ilvl w:val="0"/>
                <w:numId w:val="0"/>
              </w:numPr>
              <w:spacing w:before="0" w:beforeAutospacing="0" w:after="120" w:afterAutospacing="0" w:line="240" w:lineRule="auto"/>
              <w:ind w:left="0" w:right="0" w:firstLine="0"/>
              <w:jc w:val="left"/>
              <w:outlineLvl w:val="9"/>
            </w:pPr>
            <w:r>
              <w:br/>
            </w:r>
            <w:r>
              <w:t>Notification priority: Email → SMS → None.</w:t>
            </w:r>
          </w:p>
        </w:tc>
        <w:tc>
          <w:tcPr/>
          <w:p>
            <w:pPr>
              <w:numPr>
                <w:ilvl w:val="0"/>
                <w:numId w:val="0"/>
              </w:numPr>
              <w:spacing w:before="0" w:beforeAutospacing="0" w:after="120" w:afterAutospacing="0" w:line="240" w:lineRule="auto"/>
              <w:ind w:left="0" w:right="0" w:firstLine="0"/>
              <w:jc w:val="left"/>
              <w:outlineLvl w:val="9"/>
            </w:pPr>
            <w:hyperlink r:id="rId11" w:history="1">
              <w:r>
                <w:rPr>
                  <w:rStyle w:val="Hyperlink"/>
                </w:rPr>
                <w:drawing>
                  <wp:inline>
                    <wp:extent cx="152400" cy="152400"/>
                    <wp:docPr id="100001"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152400" cy="152400"/>
                            </a:xfrm>
                            <a:prstGeom prst="rect">
                              <a:avLst/>
                            </a:prstGeom>
                          </pic:spPr>
                        </pic:pic>
                      </a:graphicData>
                    </a:graphic>
                  </wp:inline>
                </w:drawing>
              </w:r>
              <w:r>
                <w:rPr>
                  <w:rStyle w:val="Hyperlink"/>
                </w:rPr>
                <w:t>BCOH2H-597</w:t>
              </w:r>
            </w:hyperlink>
            <w:r>
              <w:t xml:space="preserve"> - </w:t>
            </w:r>
            <w:r>
              <w:t>BM - Corporate HTH Enable - Notification</w:t>
            </w:r>
            <w:r>
              <w:t xml:space="preserve"> </w:t>
            </w:r>
            <w:r>
              <w:rPr>
                <w:b/>
                <w:smallCaps/>
                <w:color w:val="4A6785"/>
                <w:spacing w:val="0"/>
                <w:bdr w:val="single" w:sz="8" w:space="0" w:color="E4E8ED"/>
                <w:shd w:val="clear" w:color="auto" w:fill="FFFFFF"/>
              </w:rPr>
              <w:t> ready for uat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Customer onboarding - BM Corporate HTH Management - disable</w:t>
            </w:r>
          </w:p>
        </w:tc>
        <w:tc>
          <w:tcPr/>
          <w:p>
            <w:pPr>
              <w:numPr>
                <w:ilvl w:val="0"/>
                <w:numId w:val="0"/>
              </w:numPr>
              <w:spacing w:before="0" w:beforeAutospacing="0" w:after="120" w:afterAutospacing="0" w:line="240" w:lineRule="auto"/>
              <w:ind w:left="0" w:right="0" w:firstLine="0"/>
              <w:jc w:val="left"/>
              <w:outlineLvl w:val="9"/>
            </w:pPr>
            <w:r>
              <w:t>Admin</w:t>
            </w:r>
          </w:p>
        </w:tc>
        <w:tc>
          <w:tcPr/>
          <w:p>
            <w:pPr>
              <w:numPr>
                <w:ilvl w:val="0"/>
                <w:numId w:val="0"/>
              </w:numPr>
              <w:spacing w:before="0" w:beforeAutospacing="0" w:after="120" w:afterAutospacing="0" w:line="240" w:lineRule="auto"/>
              <w:ind w:left="0" w:right="0" w:firstLine="0"/>
              <w:jc w:val="left"/>
              <w:outlineLvl w:val="9"/>
            </w:pPr>
            <w:r>
              <w:t>Y</w:t>
            </w:r>
          </w:p>
        </w:tc>
        <w:tc>
          <w:tcPr/>
          <w:p>
            <w:pPr>
              <w:numPr>
                <w:ilvl w:val="0"/>
                <w:numId w:val="0"/>
              </w:numPr>
              <w:spacing w:before="0" w:beforeAutospacing="0" w:after="120" w:afterAutospacing="0" w:line="240" w:lineRule="auto"/>
              <w:ind w:left="0" w:right="0" w:firstLine="0"/>
              <w:jc w:val="left"/>
              <w:outlineLvl w:val="9"/>
            </w:pPr>
            <w:r>
              <w:rPr>
                <w:color w:val="172B4D"/>
              </w:rPr>
              <w:t>NA</w:t>
            </w:r>
          </w:p>
        </w:tc>
        <w:tc>
          <w:tcPr/>
          <w:p>
            <w:pPr>
              <w:numPr>
                <w:ilvl w:val="0"/>
                <w:numId w:val="0"/>
              </w:numPr>
              <w:spacing w:before="0" w:beforeAutospacing="0" w:after="120" w:afterAutospacing="0" w:line="240" w:lineRule="auto"/>
              <w:ind w:left="0" w:right="0" w:firstLine="0"/>
              <w:jc w:val="left"/>
              <w:outlineLvl w:val="9"/>
            </w:pPr>
            <w:r>
              <w:t>Approved via BCO BM</w:t>
            </w:r>
            <w:r>
              <w:br/>
            </w:r>
            <w:r>
              <w:t>Only single-level approval</w:t>
            </w:r>
          </w:p>
        </w:tc>
        <w:tc>
          <w:tcPr/>
          <w:p>
            <w:pPr>
              <w:numPr>
                <w:ilvl w:val="0"/>
                <w:numId w:val="0"/>
              </w:numPr>
              <w:spacing w:before="0" w:beforeAutospacing="0" w:after="120" w:afterAutospacing="0" w:line="240" w:lineRule="auto"/>
              <w:ind w:left="0" w:right="0" w:firstLine="0"/>
              <w:jc w:val="left"/>
              <w:outlineLvl w:val="9"/>
            </w:pPr>
            <w:r>
              <w:rPr>
                <w:color w:val="008000"/>
              </w:rPr>
              <w:t xml:space="preserve">Company Email </w:t>
            </w:r>
            <w:r>
              <w:rPr>
                <w:color w:val="FF0000"/>
              </w:rPr>
              <w:t>or</w:t>
            </w:r>
            <w:r>
              <w:rPr>
                <w:color w:val="008000"/>
              </w:rPr>
              <w:t xml:space="preserve"> Mobile Number</w:t>
            </w:r>
          </w:p>
        </w:tc>
        <w:tc>
          <w:tcPr/>
          <w:p>
            <w:pPr>
              <w:numPr>
                <w:ilvl w:val="0"/>
                <w:numId w:val="0"/>
              </w:numPr>
              <w:spacing w:before="0" w:beforeAutospacing="0" w:after="120" w:afterAutospacing="0" w:line="240" w:lineRule="auto"/>
              <w:ind w:left="0" w:right="0" w:firstLine="0"/>
              <w:jc w:val="left"/>
              <w:outlineLvl w:val="9"/>
            </w:pPr>
            <w:r>
              <w:t>#2</w:t>
            </w:r>
          </w:p>
        </w:tc>
        <w:tc>
          <w:tcPr/>
          <w:p>
            <w:pPr>
              <w:spacing w:before="0" w:beforeAutospacing="0" w:after="120" w:afterAutospacing="0" w:line="240" w:lineRule="auto"/>
              <w:ind w:left="0" w:right="0" w:firstLine="0"/>
              <w:jc w:val="left"/>
              <w:outlineLvl w:val="9"/>
            </w:pPr>
            <w:r>
              <w:rPr>
                <w:strike/>
              </w:rPr>
              <w:t>BCO  BM create use - disable and edit no notification</w:t>
            </w:r>
          </w:p>
          <w:p>
            <w:pPr>
              <w:numPr>
                <w:ilvl w:val="0"/>
                <w:numId w:val="0"/>
              </w:numPr>
              <w:spacing w:before="0" w:beforeAutospacing="0" w:after="120" w:afterAutospacing="0" w:line="240" w:lineRule="auto"/>
              <w:ind w:left="0" w:right="0" w:firstLine="0"/>
              <w:jc w:val="left"/>
              <w:outlineLvl w:val="9"/>
            </w:pPr>
            <w:r>
              <w:rPr>
                <w:color w:val="008000"/>
              </w:rPr>
              <w:t>Disable can send notification</w:t>
            </w:r>
          </w:p>
        </w:tc>
        <w:tc>
          <w:tcPr/>
          <w:p>
            <w:pPr>
              <w:numPr>
                <w:ilvl w:val="0"/>
                <w:numId w:val="0"/>
              </w:numPr>
              <w:spacing w:before="0" w:beforeAutospacing="0" w:after="120" w:afterAutospacing="0" w:line="240" w:lineRule="auto"/>
              <w:ind w:left="0" w:right="0" w:firstLine="0"/>
              <w:jc w:val="left"/>
              <w:outlineLvl w:val="9"/>
            </w:pPr>
            <w:hyperlink r:id="rId14" w:history="1">
              <w:r>
                <w:rPr>
                  <w:rStyle w:val="Hyperlink"/>
                </w:rPr>
                <w:drawing>
                  <wp:inline>
                    <wp:extent cx="152400" cy="152400"/>
                    <wp:docPr id="100003"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152400" cy="152400"/>
                            </a:xfrm>
                            <a:prstGeom prst="rect">
                              <a:avLst/>
                            </a:prstGeom>
                          </pic:spPr>
                        </pic:pic>
                      </a:graphicData>
                    </a:graphic>
                  </wp:inline>
                </w:drawing>
              </w:r>
              <w:r>
                <w:rPr>
                  <w:rStyle w:val="Hyperlink"/>
                </w:rPr>
                <w:t>BCOH2H-1288</w:t>
              </w:r>
            </w:hyperlink>
            <w:r>
              <w:t xml:space="preserve"> - </w:t>
            </w:r>
            <w:r>
              <w:t>CLONE - BM - Corporate HTH Disable- Notification</w:t>
            </w:r>
            <w:r>
              <w:t xml:space="preserve"> </w:t>
            </w:r>
            <w:r>
              <w:rPr>
                <w:b/>
                <w:smallCaps/>
                <w:color w:val="4A6785"/>
                <w:spacing w:val="0"/>
                <w:bdr w:val="single" w:sz="8" w:space="0" w:color="E4E8ED"/>
                <w:shd w:val="clear" w:color="auto" w:fill="FFFFFF"/>
              </w:rPr>
              <w:t> in dev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Customer onboarding - BM Corporate HTH Management - edit (API access)</w:t>
            </w:r>
          </w:p>
        </w:tc>
        <w:tc>
          <w:tcPr/>
          <w:p>
            <w:pPr>
              <w:numPr>
                <w:ilvl w:val="0"/>
                <w:numId w:val="0"/>
              </w:numPr>
              <w:spacing w:before="0" w:beforeAutospacing="0" w:after="120" w:afterAutospacing="0" w:line="240" w:lineRule="auto"/>
              <w:ind w:left="0" w:right="0" w:firstLine="0"/>
              <w:jc w:val="left"/>
              <w:outlineLvl w:val="9"/>
            </w:pPr>
            <w:r>
              <w:t>Admin</w:t>
            </w:r>
          </w:p>
        </w:tc>
        <w:tc>
          <w:tcPr/>
          <w:p>
            <w:pPr>
              <w:numPr>
                <w:ilvl w:val="0"/>
                <w:numId w:val="0"/>
              </w:numPr>
              <w:spacing w:before="0" w:beforeAutospacing="0" w:after="120" w:afterAutospacing="0" w:line="240" w:lineRule="auto"/>
              <w:ind w:left="0" w:right="0" w:firstLine="0"/>
              <w:jc w:val="left"/>
              <w:outlineLvl w:val="9"/>
            </w:pPr>
            <w:r>
              <w:t>Y</w:t>
            </w:r>
          </w:p>
        </w:tc>
        <w:tc>
          <w:tcPr/>
          <w:p>
            <w:pPr>
              <w:numPr>
                <w:ilvl w:val="0"/>
                <w:numId w:val="0"/>
              </w:numPr>
              <w:spacing w:before="0" w:beforeAutospacing="0" w:after="120" w:afterAutospacing="0" w:line="240" w:lineRule="auto"/>
              <w:ind w:left="0" w:right="0" w:firstLine="0"/>
              <w:jc w:val="left"/>
              <w:outlineLvl w:val="9"/>
            </w:pPr>
            <w:r>
              <w:rPr>
                <w:color w:val="172B4D"/>
              </w:rPr>
              <w:t>NA</w:t>
            </w:r>
          </w:p>
        </w:tc>
        <w:tc>
          <w:tcPr/>
          <w:p>
            <w:pPr>
              <w:numPr>
                <w:ilvl w:val="0"/>
                <w:numId w:val="0"/>
              </w:numPr>
              <w:spacing w:before="0" w:beforeAutospacing="0" w:after="120" w:afterAutospacing="0" w:line="240" w:lineRule="auto"/>
              <w:ind w:left="0" w:right="0" w:firstLine="0"/>
              <w:jc w:val="left"/>
              <w:outlineLvl w:val="9"/>
            </w:pPr>
            <w:r>
              <w:t>Approved via BCO BM</w:t>
            </w:r>
            <w:r>
              <w:br/>
            </w:r>
            <w:r>
              <w:t>Support multiple-level approval</w:t>
            </w:r>
          </w:p>
        </w:tc>
        <w:tc>
          <w:tcPr/>
          <w:p>
            <w:pPr>
              <w:numPr>
                <w:ilvl w:val="0"/>
                <w:numId w:val="0"/>
              </w:numPr>
              <w:spacing w:before="0" w:beforeAutospacing="0" w:after="120" w:afterAutospacing="0" w:line="240" w:lineRule="auto"/>
              <w:ind w:left="0" w:right="0" w:firstLine="0"/>
              <w:jc w:val="left"/>
              <w:outlineLvl w:val="9"/>
            </w:pPr>
            <w:r>
              <w:rPr>
                <w:color w:val="008000"/>
              </w:rPr>
              <w:t xml:space="preserve">Company Email </w:t>
            </w:r>
            <w:r>
              <w:rPr>
                <w:color w:val="FF0000"/>
              </w:rPr>
              <w:t>or</w:t>
            </w:r>
            <w:r>
              <w:rPr>
                <w:color w:val="008000"/>
              </w:rPr>
              <w:t xml:space="preserve"> Mobile Number</w:t>
            </w:r>
          </w:p>
        </w:tc>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r>
              <w:rPr>
                <w:strike/>
              </w:rPr>
              <w:t>BCO  BM create use - disable and edit no notification</w:t>
            </w:r>
          </w:p>
        </w:tc>
        <w:tc>
          <w:tcPr/>
          <w:p>
            <w:pPr>
              <w:numPr>
                <w:ilvl w:val="0"/>
                <w:numId w:val="0"/>
              </w:numPr>
              <w:spacing w:before="0" w:beforeAutospacing="0" w:after="120" w:afterAutospacing="0" w:line="240" w:lineRule="auto"/>
              <w:ind w:left="0" w:right="0" w:firstLine="0"/>
              <w:jc w:val="left"/>
              <w:outlineLvl w:val="9"/>
            </w:pPr>
            <w:hyperlink r:id="rId14" w:history="1">
              <w:r>
                <w:rPr>
                  <w:rStyle w:val="Hyperlink"/>
                </w:rPr>
                <w:drawing>
                  <wp:inline>
                    <wp:extent cx="152400" cy="152400"/>
                    <wp:docPr id="100005" name="" desc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152400" cy="152400"/>
                            </a:xfrm>
                            <a:prstGeom prst="rect">
                              <a:avLst/>
                            </a:prstGeom>
                          </pic:spPr>
                        </pic:pic>
                      </a:graphicData>
                    </a:graphic>
                  </wp:inline>
                </w:drawing>
              </w:r>
              <w:r>
                <w:rPr>
                  <w:rStyle w:val="Hyperlink"/>
                </w:rPr>
                <w:t>BCOH2H-1288</w:t>
              </w:r>
            </w:hyperlink>
            <w:r>
              <w:t xml:space="preserve"> - </w:t>
            </w:r>
            <w:r>
              <w:t>CLONE - BM - Corporate HTH Disable- Notification</w:t>
            </w:r>
            <w:r>
              <w:t xml:space="preserve"> </w:t>
            </w:r>
            <w:r>
              <w:rPr>
                <w:b/>
                <w:smallCaps/>
                <w:color w:val="4A6785"/>
                <w:spacing w:val="0"/>
                <w:bdr w:val="single" w:sz="8" w:space="0" w:color="E4E8ED"/>
                <w:shd w:val="clear" w:color="auto" w:fill="FFFFFF"/>
              </w:rPr>
              <w:t> in dev </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p>
        </w:tc>
      </w:tr>
    </w:tbl>
    <w:p>
      <w:pPr>
        <w:pStyle w:val="Heading1"/>
      </w:pPr>
      <w:bookmarkStart w:id="4" w:name="scroll-bookmark-3"/>
      <w:bookmarkStart w:id="5" w:name="_Toc256000001"/>
      <w:r>
        <w:t>Template</w:t>
      </w:r>
      <w:bookmarkEnd w:id="5"/>
      <w:bookmarkEnd w:id="4"/>
    </w:p>
    <w:p>
      <w:r>
        <w:t>Email</w:t>
      </w:r>
    </w:p>
    <w:tbl>
      <w:tblPr>
        <w:tblStyle w:val="ScrollTableNormal"/>
        <w:tblW w:w="5000" w:type="pct"/>
        <w:tblLook w:val="0020"/>
      </w:tblPr>
      <w:tblGrid>
        <w:gridCol w:w="302"/>
        <w:gridCol w:w="565"/>
        <w:gridCol w:w="1920"/>
        <w:gridCol w:w="4866"/>
        <w:gridCol w:w="824"/>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Type</w:t>
            </w:r>
          </w:p>
        </w:tc>
        <w:tc>
          <w:tcPr/>
          <w:p>
            <w:pPr>
              <w:numPr>
                <w:ilvl w:val="0"/>
                <w:numId w:val="0"/>
              </w:numPr>
              <w:spacing w:before="0" w:beforeAutospacing="0" w:after="120" w:afterAutospacing="0" w:line="240" w:lineRule="auto"/>
              <w:ind w:left="0" w:right="0" w:firstLine="0"/>
              <w:jc w:val="left"/>
              <w:outlineLvl w:val="9"/>
            </w:pPr>
            <w:r>
              <w:t>Email Subject</w:t>
            </w:r>
          </w:p>
        </w:tc>
        <w:tc>
          <w:tcPr/>
          <w:p>
            <w:pPr>
              <w:numPr>
                <w:ilvl w:val="0"/>
                <w:numId w:val="0"/>
              </w:numPr>
              <w:spacing w:before="0" w:beforeAutospacing="0" w:after="120" w:afterAutospacing="0" w:line="240" w:lineRule="auto"/>
              <w:ind w:left="0" w:right="0" w:firstLine="0"/>
              <w:jc w:val="left"/>
              <w:outlineLvl w:val="9"/>
            </w:pPr>
            <w:r>
              <w:t>Email Message</w:t>
            </w:r>
          </w:p>
        </w:tc>
        <w:tc>
          <w:tcPr/>
          <w:p>
            <w:pPr>
              <w:numPr>
                <w:ilvl w:val="0"/>
                <w:numId w:val="0"/>
              </w:numPr>
              <w:spacing w:before="0" w:beforeAutospacing="0" w:after="120" w:afterAutospacing="0" w:line="240" w:lineRule="auto"/>
              <w:ind w:left="0" w:right="0" w:firstLine="0"/>
              <w:jc w:val="left"/>
              <w:outlineLvl w:val="9"/>
            </w:pPr>
            <w:r>
              <w:t>Remark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Email</w:t>
            </w:r>
          </w:p>
        </w:tc>
        <w:tc>
          <w:tcPr/>
          <w:p>
            <w:pPr>
              <w:numPr>
                <w:ilvl w:val="0"/>
                <w:numId w:val="0"/>
              </w:numPr>
              <w:spacing w:before="0" w:beforeAutospacing="0" w:after="120" w:afterAutospacing="0" w:line="240" w:lineRule="auto"/>
              <w:ind w:left="0" w:right="0" w:firstLine="0"/>
              <w:jc w:val="left"/>
              <w:outlineLvl w:val="9"/>
            </w:pPr>
            <w:r>
              <w:rPr>
                <w:color w:val="008000"/>
              </w:rPr>
              <w:t>BEA Corporate Online: H2H API Service Activated 東亞企業網上銀行：H2H API服務已啟用</w:t>
            </w:r>
          </w:p>
        </w:tc>
        <w:tc>
          <w:tcPr/>
          <w:p>
            <w:pPr>
              <w:spacing w:before="0" w:beforeAutospacing="0" w:after="120" w:afterAutospacing="0" w:line="240" w:lineRule="auto"/>
              <w:ind w:left="0" w:right="0" w:firstLine="0"/>
              <w:jc w:val="left"/>
              <w:outlineLvl w:val="9"/>
            </w:pPr>
            <w:r>
              <w:rPr>
                <w:color w:val="008000"/>
              </w:rPr>
              <w:t>Dear Valued Customer,</w:t>
            </w:r>
            <w:r>
              <w:br/>
            </w:r>
            <w:r>
              <w:br/>
            </w:r>
            <w:r>
              <w:rPr>
                <w:color w:val="008000"/>
              </w:rPr>
              <w:t>Please be informed that H2H API service has been activated for your company.</w:t>
            </w:r>
          </w:p>
          <w:p>
            <w:pPr>
              <w:spacing w:before="0" w:beforeAutospacing="0" w:after="120" w:afterAutospacing="0" w:line="240" w:lineRule="auto"/>
              <w:ind w:left="0" w:right="0" w:firstLine="0"/>
              <w:jc w:val="left"/>
              <w:outlineLvl w:val="9"/>
            </w:pPr>
            <w:r>
              <w:rPr>
                <w:color w:val="008000"/>
              </w:rPr>
              <w:t>Please complete the remaining setup and configuration activities in accordance with the Bank's setup guidance before using the H2H API service.</w:t>
            </w:r>
          </w:p>
          <w:p>
            <w:pPr>
              <w:spacing w:before="0" w:beforeAutospacing="0" w:after="120" w:afterAutospacing="0" w:line="240" w:lineRule="auto"/>
              <w:ind w:left="0" w:right="0" w:firstLine="0"/>
              <w:jc w:val="left"/>
              <w:outlineLvl w:val="9"/>
            </w:pPr>
            <w:r>
              <w:rPr>
                <w:color w:val="008000"/>
              </w:rPr>
              <w:t>For enquiries, please call our Merchant Services Hotline on (852) 2211 1056 during office hours.</w:t>
            </w:r>
            <w:r>
              <w:br/>
            </w:r>
            <w:r>
              <w:br/>
            </w:r>
            <w:r>
              <w:rPr>
                <w:color w:val="008000"/>
              </w:rPr>
              <w:t>Yours faithfully,</w:t>
            </w:r>
            <w:r>
              <w:br/>
            </w:r>
            <w:r>
              <w:rPr>
                <w:color w:val="008000"/>
              </w:rPr>
              <w:t>The Bank of East Asia, Limited</w:t>
            </w:r>
            <w:r>
              <w:br/>
            </w:r>
            <w:r>
              <w:br/>
            </w:r>
            <w:r>
              <w:rPr>
                <w:color w:val="008000"/>
              </w:rPr>
              <w:t>If there are any discrepancies between the English and Chinese versions of this email, the English version shall apply and prevail.</w:t>
            </w:r>
          </w:p>
          <w:p>
            <w:pPr>
              <w:spacing w:before="0" w:beforeAutospacing="0" w:after="120" w:afterAutospacing="0" w:line="240" w:lineRule="auto"/>
              <w:ind w:left="0" w:right="0" w:firstLine="0"/>
              <w:jc w:val="left"/>
              <w:outlineLvl w:val="9"/>
            </w:pPr>
            <w:r>
              <w:rPr>
                <w:color w:val="008000"/>
              </w:rPr>
              <w:t>This is a system-generated email. Please do not reply to this email or via any hyperlinks in the message.</w:t>
            </w:r>
          </w:p>
          <w:p>
            <w:pPr>
              <w:spacing w:before="0" w:beforeAutospacing="0" w:after="120" w:afterAutospacing="0" w:line="240" w:lineRule="auto"/>
              <w:ind w:left="0" w:right="0" w:firstLine="0"/>
              <w:jc w:val="left"/>
              <w:outlineLvl w:val="9"/>
            </w:pPr>
          </w:p>
          <w:p>
            <w:pPr>
              <w:numPr>
                <w:ilvl w:val="0"/>
                <w:numId w:val="0"/>
              </w:numPr>
              <w:spacing w:before="0" w:beforeAutospacing="0" w:after="120" w:afterAutospacing="0" w:line="240" w:lineRule="auto"/>
              <w:ind w:left="0" w:right="0" w:firstLine="0"/>
              <w:jc w:val="left"/>
              <w:outlineLvl w:val="9"/>
            </w:pPr>
            <w:r>
              <w:rPr>
                <w:color w:val="008000"/>
              </w:rPr>
              <w:t>尊貴的客戶：</w:t>
            </w:r>
            <w:r>
              <w:br/>
            </w:r>
            <w:r>
              <w:br/>
            </w:r>
            <w:r>
              <w:rPr>
                <w:color w:val="008000"/>
              </w:rPr>
              <w:t>現特函通知，貴公司的H2H API服務已啟用。</w:t>
            </w:r>
            <w:r>
              <w:br/>
            </w:r>
            <w:r>
              <w:br/>
            </w:r>
            <w:r>
              <w:rPr>
                <w:color w:val="008000"/>
              </w:rPr>
              <w:t>請根據本行提供的設定指引完成所需設定及配置程序，方可使用H2H API服務。</w:t>
            </w:r>
            <w:r>
              <w:br/>
            </w:r>
            <w:r>
              <w:br/>
            </w:r>
            <w:r>
              <w:rPr>
                <w:color w:val="008000"/>
              </w:rPr>
              <w:t>如有查詢，請於辦公時間內致電本行商戶服務熱線：(852) 2211 1056。</w:t>
            </w:r>
            <w:r>
              <w:br/>
            </w:r>
            <w:r>
              <w:br/>
            </w:r>
            <w:r>
              <w:rPr>
                <w:color w:val="008000"/>
              </w:rPr>
              <w:t>謹啟</w:t>
            </w:r>
            <w:r>
              <w:br/>
            </w:r>
            <w:r>
              <w:rPr>
                <w:color w:val="008000"/>
              </w:rPr>
              <w:t>東亞銀行有限公司</w:t>
            </w:r>
            <w:r>
              <w:br/>
            </w:r>
            <w:r>
              <w:br/>
            </w:r>
            <w:r>
              <w:rPr>
                <w:color w:val="008000"/>
              </w:rPr>
              <w:t>中英文本文義如有歧異，概以英文本為準。</w:t>
            </w:r>
            <w:r>
              <w:br/>
            </w:r>
            <w:r>
              <w:br/>
            </w:r>
            <w:r>
              <w:rPr>
                <w:color w:val="008000"/>
              </w:rPr>
              <w:t>此乃電腦系統發出之電郵，請勿回覆此電郵或電郵內的超連結。</w:t>
            </w:r>
          </w:p>
        </w:tc>
        <w:tc>
          <w:tcPr/>
          <w:p>
            <w:pPr>
              <w:numPr>
                <w:ilvl w:val="0"/>
                <w:numId w:val="0"/>
              </w:numPr>
              <w:spacing w:before="0" w:beforeAutospacing="0" w:after="120" w:afterAutospacing="0" w:line="240" w:lineRule="auto"/>
              <w:ind w:left="0" w:right="0" w:firstLine="0"/>
              <w:jc w:val="left"/>
              <w:outlineLvl w:val="9"/>
            </w:pPr>
            <w:r>
              <w:rPr>
                <w:color w:val="FF0000"/>
              </w:rPr>
              <w:t>"H2H API "name no finalised</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008000"/>
              </w:rPr>
              <w:t>BEA Corporate Online: H2H API Service Deactivated 東亞企業網上銀行：H2H API服務已停用</w:t>
            </w:r>
          </w:p>
        </w:tc>
        <w:tc>
          <w:tcPr/>
          <w:p>
            <w:pPr>
              <w:spacing w:before="0" w:beforeAutospacing="0" w:after="120" w:afterAutospacing="0" w:line="240" w:lineRule="auto"/>
              <w:ind w:left="0" w:right="0" w:firstLine="0"/>
              <w:jc w:val="left"/>
              <w:outlineLvl w:val="9"/>
            </w:pPr>
            <w:r>
              <w:rPr>
                <w:color w:val="008000"/>
              </w:rPr>
              <w:t>Dear Valued Customer,</w:t>
            </w:r>
          </w:p>
          <w:p>
            <w:pPr>
              <w:spacing w:before="0" w:beforeAutospacing="0" w:after="120" w:afterAutospacing="0" w:line="240" w:lineRule="auto"/>
              <w:ind w:left="0" w:right="0" w:firstLine="0"/>
              <w:jc w:val="left"/>
              <w:outlineLvl w:val="9"/>
            </w:pPr>
            <w:r>
              <w:rPr>
                <w:color w:val="008000"/>
              </w:rPr>
              <w:t>Please be informed that H2H API service has been deactivated for your company.</w:t>
            </w:r>
          </w:p>
          <w:p>
            <w:pPr>
              <w:spacing w:before="0" w:beforeAutospacing="0" w:after="120" w:afterAutospacing="0" w:line="240" w:lineRule="auto"/>
              <w:ind w:left="0" w:right="0" w:firstLine="0"/>
              <w:jc w:val="left"/>
              <w:outlineLvl w:val="9"/>
            </w:pPr>
            <w:r>
              <w:rPr>
                <w:color w:val="008000"/>
              </w:rPr>
              <w:t>Your company will no longer be able to access or use H2H API services. Should your company wish to resume H2H API services in the future, please contact your Relationship Manager or the Bank for assistance.</w:t>
            </w:r>
          </w:p>
          <w:p>
            <w:pPr>
              <w:spacing w:before="0" w:beforeAutospacing="0" w:after="120" w:afterAutospacing="0" w:line="240" w:lineRule="auto"/>
              <w:ind w:left="0" w:right="0" w:firstLine="0"/>
              <w:jc w:val="left"/>
              <w:outlineLvl w:val="9"/>
            </w:pPr>
            <w:r>
              <w:rPr>
                <w:color w:val="008000"/>
              </w:rPr>
              <w:t>For enquiries, please call our Merchant Services Hotline on (852) 2211 1056 during office hours.</w:t>
            </w:r>
          </w:p>
          <w:p>
            <w:pPr>
              <w:spacing w:before="0" w:beforeAutospacing="0" w:after="120" w:afterAutospacing="0" w:line="240" w:lineRule="auto"/>
              <w:ind w:left="0" w:right="0" w:firstLine="0"/>
              <w:jc w:val="left"/>
              <w:outlineLvl w:val="9"/>
            </w:pPr>
            <w:r>
              <w:rPr>
                <w:color w:val="008000"/>
              </w:rPr>
              <w:t>Yours faithfully,</w:t>
            </w:r>
            <w:r>
              <w:br/>
            </w:r>
            <w:r>
              <w:rPr>
                <w:color w:val="008000"/>
              </w:rPr>
              <w:t>The Bank of East Asia, Limited</w:t>
            </w:r>
          </w:p>
          <w:p>
            <w:pPr>
              <w:spacing w:before="0" w:beforeAutospacing="0" w:after="120" w:afterAutospacing="0" w:line="240" w:lineRule="auto"/>
              <w:ind w:left="0" w:right="0" w:firstLine="0"/>
              <w:jc w:val="left"/>
              <w:outlineLvl w:val="9"/>
            </w:pPr>
            <w:r>
              <w:rPr>
                <w:color w:val="008000"/>
              </w:rPr>
              <w:t>If there are any discrepancies between the English and Chinese versions of this email, the English version shall apply and prevail.</w:t>
            </w:r>
          </w:p>
          <w:p>
            <w:pPr>
              <w:spacing w:before="0" w:beforeAutospacing="0" w:after="120" w:afterAutospacing="0" w:line="240" w:lineRule="auto"/>
              <w:ind w:left="0" w:right="0" w:firstLine="0"/>
              <w:jc w:val="left"/>
              <w:outlineLvl w:val="9"/>
            </w:pPr>
            <w:r>
              <w:rPr>
                <w:color w:val="008000"/>
              </w:rPr>
              <w:t>This is a system-generated email. Please do not reply to this email or via any hyperlinks in the message.</w:t>
            </w:r>
          </w:p>
          <w:p>
            <w:pPr>
              <w:spacing w:before="0" w:beforeAutospacing="0" w:after="120" w:afterAutospacing="0" w:line="240" w:lineRule="auto"/>
              <w:ind w:left="0" w:right="0" w:firstLine="0"/>
              <w:jc w:val="left"/>
              <w:outlineLvl w:val="9"/>
            </w:pPr>
          </w:p>
          <w:p>
            <w:pPr>
              <w:spacing w:before="0" w:beforeAutospacing="0" w:after="120" w:afterAutospacing="0" w:line="240" w:lineRule="auto"/>
              <w:ind w:left="0" w:right="0" w:firstLine="0"/>
              <w:jc w:val="left"/>
              <w:outlineLvl w:val="9"/>
            </w:pPr>
            <w:r>
              <w:rPr>
                <w:color w:val="008000"/>
              </w:rPr>
              <w:t>尊貴的客戶：</w:t>
            </w:r>
          </w:p>
          <w:p>
            <w:pPr>
              <w:spacing w:before="0" w:beforeAutospacing="0" w:after="120" w:afterAutospacing="0" w:line="240" w:lineRule="auto"/>
              <w:ind w:left="0" w:right="0" w:firstLine="0"/>
              <w:jc w:val="left"/>
              <w:outlineLvl w:val="9"/>
            </w:pPr>
            <w:r>
              <w:rPr>
                <w:color w:val="008000"/>
              </w:rPr>
              <w:t>現特函通知，貴公司的H2H API服務已停用。</w:t>
            </w:r>
          </w:p>
          <w:p>
            <w:pPr>
              <w:spacing w:before="0" w:beforeAutospacing="0" w:after="120" w:afterAutospacing="0" w:line="240" w:lineRule="auto"/>
              <w:ind w:left="0" w:right="0" w:firstLine="0"/>
              <w:jc w:val="left"/>
              <w:outlineLvl w:val="9"/>
            </w:pPr>
            <w:r>
              <w:rPr>
                <w:color w:val="008000"/>
              </w:rPr>
              <w:t>貴公司將不能再使用H2H API服務。如貴公司日後需要重新啟用H2H API服務，請聯絡客戶經理或本行辦理相關手續。</w:t>
            </w:r>
          </w:p>
          <w:p>
            <w:pPr>
              <w:spacing w:before="0" w:beforeAutospacing="0" w:after="120" w:afterAutospacing="0" w:line="240" w:lineRule="auto"/>
              <w:ind w:left="0" w:right="0" w:firstLine="0"/>
              <w:jc w:val="left"/>
              <w:outlineLvl w:val="9"/>
            </w:pPr>
            <w:r>
              <w:rPr>
                <w:color w:val="008000"/>
              </w:rPr>
              <w:t>如有查詢，請於辦公時間內致電本行商戶服務熱線：(852) 2211 1056。</w:t>
            </w:r>
          </w:p>
          <w:p>
            <w:pPr>
              <w:spacing w:before="0" w:beforeAutospacing="0" w:after="120" w:afterAutospacing="0" w:line="240" w:lineRule="auto"/>
              <w:ind w:left="0" w:right="0" w:firstLine="0"/>
              <w:jc w:val="left"/>
              <w:outlineLvl w:val="9"/>
            </w:pPr>
            <w:r>
              <w:rPr>
                <w:color w:val="008000"/>
              </w:rPr>
              <w:t>謹啟</w:t>
            </w:r>
            <w:r>
              <w:br/>
            </w:r>
            <w:r>
              <w:rPr>
                <w:color w:val="008000"/>
              </w:rPr>
              <w:t>東亞銀行有限公司</w:t>
            </w:r>
          </w:p>
          <w:p>
            <w:pPr>
              <w:spacing w:before="0" w:beforeAutospacing="0" w:after="120" w:afterAutospacing="0" w:line="240" w:lineRule="auto"/>
              <w:ind w:left="0" w:right="0" w:firstLine="0"/>
              <w:jc w:val="left"/>
              <w:outlineLvl w:val="9"/>
            </w:pPr>
            <w:r>
              <w:rPr>
                <w:color w:val="008000"/>
              </w:rPr>
              <w:t>中英文本文義如有歧異，概以英文本為準。</w:t>
            </w:r>
          </w:p>
          <w:p>
            <w:pPr>
              <w:numPr>
                <w:ilvl w:val="0"/>
                <w:numId w:val="0"/>
              </w:numPr>
              <w:spacing w:before="0" w:beforeAutospacing="0" w:after="120" w:afterAutospacing="0" w:line="240" w:lineRule="auto"/>
              <w:ind w:left="0" w:right="0" w:firstLine="0"/>
              <w:jc w:val="left"/>
              <w:outlineLvl w:val="9"/>
            </w:pPr>
            <w:r>
              <w:rPr>
                <w:color w:val="008000"/>
              </w:rPr>
              <w:t>此乃電腦系統發出之電郵，請勿回覆此電郵或電郵內的超連結。</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008000"/>
              </w:rPr>
              <w:t xml:space="preserve">BEA Corporate Online: H2H API Service Configuration Updated </w:t>
            </w:r>
            <w:r>
              <w:rPr>
                <w:color w:val="008000"/>
              </w:rPr>
              <w:t>東亞企業網上銀行：H2H API服務設定已更新</w:t>
            </w:r>
          </w:p>
        </w:tc>
        <w:tc>
          <w:tcPr/>
          <w:p>
            <w:pPr>
              <w:spacing w:before="0" w:beforeAutospacing="0" w:after="120" w:afterAutospacing="0" w:line="240" w:lineRule="auto"/>
              <w:ind w:left="0" w:right="0" w:firstLine="0"/>
              <w:jc w:val="left"/>
              <w:outlineLvl w:val="9"/>
            </w:pPr>
            <w:r>
              <w:rPr>
                <w:color w:val="008000"/>
              </w:rPr>
              <w:t>Dear Valued Customer,</w:t>
            </w:r>
          </w:p>
          <w:p>
            <w:pPr>
              <w:spacing w:before="0" w:beforeAutospacing="0" w:after="120" w:afterAutospacing="0" w:line="240" w:lineRule="auto"/>
              <w:ind w:left="0" w:right="0" w:firstLine="0"/>
              <w:jc w:val="left"/>
              <w:outlineLvl w:val="9"/>
            </w:pPr>
            <w:r>
              <w:rPr>
                <w:color w:val="008000"/>
              </w:rPr>
              <w:t>Please be informed that H2H API service configuration for your company has been updated.</w:t>
            </w:r>
          </w:p>
          <w:p>
            <w:pPr>
              <w:spacing w:before="0" w:beforeAutospacing="0" w:after="120" w:afterAutospacing="0" w:line="240" w:lineRule="auto"/>
              <w:ind w:left="0" w:right="0" w:firstLine="0"/>
              <w:jc w:val="left"/>
              <w:outlineLvl w:val="9"/>
            </w:pPr>
            <w:r>
              <w:rPr>
                <w:color w:val="008000"/>
              </w:rPr>
              <w:t>For enquiries, please call our Merchant Services Hotline on (852) 2211 1056 during office hours.</w:t>
            </w:r>
          </w:p>
          <w:p>
            <w:pPr>
              <w:spacing w:before="0" w:beforeAutospacing="0" w:after="120" w:afterAutospacing="0" w:line="240" w:lineRule="auto"/>
              <w:ind w:left="0" w:right="0" w:firstLine="0"/>
              <w:jc w:val="left"/>
              <w:outlineLvl w:val="9"/>
            </w:pPr>
            <w:r>
              <w:rPr>
                <w:color w:val="008000"/>
              </w:rPr>
              <w:t>Yours faithfully,</w:t>
            </w:r>
            <w:r>
              <w:br/>
            </w:r>
            <w:r>
              <w:rPr>
                <w:color w:val="008000"/>
              </w:rPr>
              <w:t>The Bank of East Asia, Limited</w:t>
            </w:r>
          </w:p>
          <w:p>
            <w:pPr>
              <w:spacing w:before="0" w:beforeAutospacing="0" w:after="120" w:afterAutospacing="0" w:line="240" w:lineRule="auto"/>
              <w:ind w:left="0" w:right="0" w:firstLine="0"/>
              <w:jc w:val="left"/>
              <w:outlineLvl w:val="9"/>
            </w:pPr>
            <w:r>
              <w:rPr>
                <w:color w:val="008000"/>
              </w:rPr>
              <w:t>If there are any discrepancies between the English and Chinese versions of this email, the English version shall apply and prevail.</w:t>
            </w:r>
          </w:p>
          <w:p>
            <w:pPr>
              <w:spacing w:before="0" w:beforeAutospacing="0" w:after="120" w:afterAutospacing="0" w:line="240" w:lineRule="auto"/>
              <w:ind w:left="0" w:right="0" w:firstLine="0"/>
              <w:jc w:val="left"/>
              <w:outlineLvl w:val="9"/>
            </w:pPr>
            <w:r>
              <w:rPr>
                <w:color w:val="008000"/>
              </w:rPr>
              <w:t>This is a system-generated email. Please do not reply to this email or via any hyperlinks in the message.</w:t>
            </w:r>
          </w:p>
          <w:p>
            <w:pPr>
              <w:spacing w:before="0" w:beforeAutospacing="0" w:after="120" w:afterAutospacing="0" w:line="240" w:lineRule="auto"/>
              <w:ind w:left="0" w:right="0" w:firstLine="0"/>
              <w:jc w:val="left"/>
              <w:outlineLvl w:val="9"/>
            </w:pPr>
            <w:r>
              <w:rPr>
                <w:color w:val="008000"/>
              </w:rPr>
              <w:t>尊貴的客戶：</w:t>
            </w:r>
          </w:p>
          <w:p>
            <w:pPr>
              <w:spacing w:before="0" w:beforeAutospacing="0" w:after="120" w:afterAutospacing="0" w:line="240" w:lineRule="auto"/>
              <w:ind w:left="0" w:right="0" w:firstLine="0"/>
              <w:jc w:val="left"/>
              <w:outlineLvl w:val="9"/>
            </w:pPr>
            <w:r>
              <w:rPr>
                <w:color w:val="008000"/>
              </w:rPr>
              <w:t>現特函通知，貴公司的H2H API服務設定已更新。</w:t>
            </w:r>
          </w:p>
          <w:p>
            <w:pPr>
              <w:spacing w:before="0" w:beforeAutospacing="0" w:after="120" w:afterAutospacing="0" w:line="240" w:lineRule="auto"/>
              <w:ind w:left="0" w:right="0" w:firstLine="0"/>
              <w:jc w:val="left"/>
              <w:outlineLvl w:val="9"/>
            </w:pPr>
            <w:r>
              <w:rPr>
                <w:color w:val="008000"/>
              </w:rPr>
              <w:t>如有查詢，請於辦公時間內致電本行商戶服務熱線：(852) 2211 1056。</w:t>
            </w:r>
          </w:p>
          <w:p>
            <w:pPr>
              <w:spacing w:before="0" w:beforeAutospacing="0" w:after="120" w:afterAutospacing="0" w:line="240" w:lineRule="auto"/>
              <w:ind w:left="0" w:right="0" w:firstLine="0"/>
              <w:jc w:val="left"/>
              <w:outlineLvl w:val="9"/>
            </w:pPr>
            <w:r>
              <w:rPr>
                <w:color w:val="008000"/>
              </w:rPr>
              <w:t>謹啟</w:t>
            </w:r>
            <w:r>
              <w:br/>
            </w:r>
            <w:r>
              <w:rPr>
                <w:color w:val="008000"/>
              </w:rPr>
              <w:t>東亞銀行有限公司</w:t>
            </w:r>
          </w:p>
          <w:p>
            <w:pPr>
              <w:spacing w:before="0" w:beforeAutospacing="0" w:after="120" w:afterAutospacing="0" w:line="240" w:lineRule="auto"/>
              <w:ind w:left="0" w:right="0" w:firstLine="0"/>
              <w:jc w:val="left"/>
              <w:outlineLvl w:val="9"/>
            </w:pPr>
            <w:r>
              <w:rPr>
                <w:color w:val="008000"/>
              </w:rPr>
              <w:t>中英文本文義如有歧異，概以英文本為準。</w:t>
            </w:r>
          </w:p>
          <w:p>
            <w:pPr>
              <w:numPr>
                <w:ilvl w:val="0"/>
                <w:numId w:val="0"/>
              </w:numPr>
              <w:spacing w:before="0" w:beforeAutospacing="0" w:after="120" w:afterAutospacing="0" w:line="240" w:lineRule="auto"/>
              <w:ind w:left="0" w:right="0" w:firstLine="0"/>
              <w:jc w:val="left"/>
              <w:outlineLvl w:val="9"/>
            </w:pPr>
            <w:r>
              <w:rPr>
                <w:color w:val="008000"/>
              </w:rPr>
              <w:t>此乃電腦系統發出之電郵，請勿回覆此電郵或電郵內的超連結。</w:t>
            </w:r>
          </w:p>
        </w:tc>
        <w:tc>
          <w:tcPr/>
          <w:p>
            <w:pPr>
              <w:numPr>
                <w:ilvl w:val="0"/>
                <w:numId w:val="0"/>
              </w:numPr>
              <w:spacing w:before="0" w:beforeAutospacing="0" w:after="120" w:afterAutospacing="0" w:line="240" w:lineRule="auto"/>
              <w:ind w:left="0" w:right="0" w:firstLine="0"/>
              <w:jc w:val="left"/>
              <w:outlineLvl w:val="9"/>
            </w:pPr>
          </w:p>
        </w:tc>
      </w:tr>
    </w:tbl>
    <w:p>
      <w:r>
        <w:t>SMS</w:t>
      </w:r>
    </w:p>
    <w:tbl>
      <w:tblPr>
        <w:tblStyle w:val="ScrollTableNormal"/>
        <w:tblW w:w="5000" w:type="pct"/>
        <w:tblLook w:val="0020"/>
      </w:tblPr>
      <w:tblGrid>
        <w:gridCol w:w="157"/>
        <w:gridCol w:w="291"/>
        <w:gridCol w:w="625"/>
        <w:gridCol w:w="3493"/>
        <w:gridCol w:w="3493"/>
        <w:gridCol w:w="428"/>
      </w:tblGrid>
      <w:tr>
        <w:tblPrEx>
          <w:tblW w:w="5000" w:type="pct"/>
          <w:tblLook w:val="0020"/>
        </w:tblPrEx>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t>Type</w:t>
            </w:r>
          </w:p>
        </w:tc>
        <w:tc>
          <w:tcPr/>
          <w:p>
            <w:pPr>
              <w:numPr>
                <w:ilvl w:val="0"/>
                <w:numId w:val="0"/>
              </w:numPr>
              <w:spacing w:before="0" w:beforeAutospacing="0" w:after="120" w:afterAutospacing="0" w:line="240" w:lineRule="auto"/>
              <w:ind w:left="0" w:right="0" w:firstLine="0"/>
              <w:jc w:val="left"/>
              <w:outlineLvl w:val="9"/>
            </w:pPr>
            <w:r>
              <w:t>SMS Message (EN)</w:t>
            </w:r>
          </w:p>
        </w:tc>
        <w:tc>
          <w:tcPr/>
          <w:p>
            <w:pPr>
              <w:numPr>
                <w:ilvl w:val="0"/>
                <w:numId w:val="0"/>
              </w:numPr>
              <w:spacing w:before="0" w:beforeAutospacing="0" w:after="120" w:afterAutospacing="0" w:line="240" w:lineRule="auto"/>
              <w:ind w:left="0" w:right="0" w:firstLine="0"/>
              <w:jc w:val="left"/>
              <w:outlineLvl w:val="9"/>
            </w:pPr>
            <w:r>
              <w:t>SMS Message (TC)</w:t>
            </w:r>
          </w:p>
        </w:tc>
        <w:tc>
          <w:tcPr/>
          <w:p>
            <w:pPr>
              <w:numPr>
                <w:ilvl w:val="0"/>
                <w:numId w:val="0"/>
              </w:numPr>
              <w:spacing w:before="0" w:beforeAutospacing="0" w:after="120" w:afterAutospacing="0" w:line="240" w:lineRule="auto"/>
              <w:ind w:left="0" w:right="0" w:firstLine="0"/>
              <w:jc w:val="left"/>
              <w:outlineLvl w:val="9"/>
            </w:pPr>
            <w:r>
              <w:t>SMS Message (SC)</w:t>
            </w:r>
          </w:p>
        </w:tc>
        <w:tc>
          <w:tcPr/>
          <w:p>
            <w:pPr>
              <w:numPr>
                <w:ilvl w:val="0"/>
                <w:numId w:val="0"/>
              </w:numPr>
              <w:spacing w:before="0" w:beforeAutospacing="0" w:after="120" w:afterAutospacing="0" w:line="240" w:lineRule="auto"/>
              <w:ind w:left="0" w:right="0" w:firstLine="0"/>
              <w:jc w:val="left"/>
              <w:outlineLvl w:val="9"/>
            </w:pPr>
            <w:r>
              <w:t>Remark</w:t>
            </w: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#1</w:t>
            </w:r>
          </w:p>
        </w:tc>
        <w:tc>
          <w:tcPr/>
          <w:p>
            <w:pPr>
              <w:numPr>
                <w:ilvl w:val="0"/>
                <w:numId w:val="0"/>
              </w:numPr>
              <w:spacing w:before="0" w:beforeAutospacing="0" w:after="120" w:afterAutospacing="0" w:line="240" w:lineRule="auto"/>
              <w:ind w:left="0" w:right="0" w:firstLine="0"/>
              <w:jc w:val="left"/>
              <w:outlineLvl w:val="9"/>
            </w:pPr>
            <w:r>
              <w:t>SMS</w:t>
            </w:r>
          </w:p>
        </w:tc>
        <w:tc>
          <w:tcPr/>
          <w:p>
            <w:pPr>
              <w:numPr>
                <w:ilvl w:val="0"/>
                <w:numId w:val="0"/>
              </w:numPr>
              <w:spacing w:before="0" w:beforeAutospacing="0" w:after="120" w:afterAutospacing="0" w:line="240" w:lineRule="auto"/>
              <w:ind w:left="0" w:right="0" w:firstLine="0"/>
              <w:jc w:val="left"/>
              <w:outlineLvl w:val="9"/>
            </w:pPr>
            <w:r>
              <w:rPr>
                <w:color w:val="008000"/>
              </w:rPr>
              <w:t>Your company's BEA H2H API service has been activated. Please complete the required setup and configuration in accordance with the Bank's setup guidance. For details, please log into your account or call (852) 2211 1321.</w:t>
            </w:r>
          </w:p>
        </w:tc>
        <w:tc>
          <w:tcPr/>
          <w:p>
            <w:pPr>
              <w:numPr>
                <w:ilvl w:val="0"/>
                <w:numId w:val="0"/>
              </w:numPr>
              <w:spacing w:before="0" w:beforeAutospacing="0" w:after="120" w:afterAutospacing="0" w:line="240" w:lineRule="auto"/>
              <w:ind w:left="0" w:right="0" w:firstLine="0"/>
              <w:jc w:val="left"/>
              <w:outlineLvl w:val="9"/>
            </w:pPr>
            <w:r>
              <w:rPr>
                <w:color w:val="008000"/>
              </w:rPr>
              <w:t>貴公司的東亞銀行H2H API服務已啟用。請根據本行提供的設定指引完成所需設定及配置程序。如欲了解更多詳情，請登入你的賬戶或致電(852) 2211 1321。</w:t>
            </w:r>
          </w:p>
        </w:tc>
        <w:tc>
          <w:tcPr/>
          <w:p>
            <w:pPr>
              <w:numPr>
                <w:ilvl w:val="0"/>
                <w:numId w:val="0"/>
              </w:numPr>
              <w:spacing w:before="0" w:beforeAutospacing="0" w:after="120" w:afterAutospacing="0" w:line="240" w:lineRule="auto"/>
              <w:ind w:left="0" w:right="0" w:firstLine="0"/>
              <w:jc w:val="left"/>
              <w:outlineLvl w:val="9"/>
            </w:pPr>
            <w:r>
              <w:rPr>
                <w:color w:val="008000"/>
              </w:rPr>
              <w:t>贵公司的东亚银行H2H API服务已启用。请根据本行提供的设置指引完成所需设置及配置程序。如欲了解更多详情，请登录你的账户或致电(852) 2211 1321。</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#2</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008000"/>
              </w:rPr>
              <w:t>Your company's BEA H2H API service has been deactivated. For details, please log into your account or call (852) 2211 1321.</w:t>
            </w:r>
          </w:p>
        </w:tc>
        <w:tc>
          <w:tcPr/>
          <w:p>
            <w:pPr>
              <w:numPr>
                <w:ilvl w:val="0"/>
                <w:numId w:val="0"/>
              </w:numPr>
              <w:spacing w:before="0" w:beforeAutospacing="0" w:after="120" w:afterAutospacing="0" w:line="240" w:lineRule="auto"/>
              <w:ind w:left="0" w:right="0" w:firstLine="0"/>
              <w:jc w:val="left"/>
              <w:outlineLvl w:val="9"/>
            </w:pPr>
            <w:r>
              <w:rPr>
                <w:color w:val="008000"/>
              </w:rPr>
              <w:t>貴公司的東亞銀行H2H API服務已停用。如欲了解更多詳情，請登入你的賬戶或致電(852) 2211 1321。</w:t>
            </w:r>
          </w:p>
        </w:tc>
        <w:tc>
          <w:tcPr/>
          <w:p>
            <w:pPr>
              <w:numPr>
                <w:ilvl w:val="0"/>
                <w:numId w:val="0"/>
              </w:numPr>
              <w:spacing w:before="0" w:beforeAutospacing="0" w:after="120" w:afterAutospacing="0" w:line="240" w:lineRule="auto"/>
              <w:ind w:left="0" w:right="0" w:firstLine="0"/>
              <w:jc w:val="left"/>
              <w:outlineLvl w:val="9"/>
            </w:pPr>
            <w:r>
              <w:rPr>
                <w:color w:val="008000"/>
              </w:rPr>
              <w:t>贵公司的东亚银行H2H API服务已停用。详情请参阅电邮。如欲了解更多详情，请登录你的账户或致电(852) 2211 1321。</w:t>
            </w:r>
          </w:p>
        </w:tc>
        <w:tc>
          <w:tcPr/>
          <w:p>
            <w:pPr>
              <w:numPr>
                <w:ilvl w:val="0"/>
                <w:numId w:val="0"/>
              </w:numPr>
              <w:spacing w:before="0" w:beforeAutospacing="0" w:after="120" w:afterAutospacing="0" w:line="240" w:lineRule="auto"/>
              <w:ind w:left="0" w:right="0" w:firstLine="0"/>
              <w:jc w:val="left"/>
              <w:outlineLvl w:val="9"/>
            </w:pPr>
          </w:p>
        </w:tc>
      </w:tr>
      <w:tr>
        <w:tblPrEx>
          <w:tblW w:w="5000" w:type="pct"/>
          <w:tblLook w:val="0020"/>
        </w:tblPrEx>
        <w:tc>
          <w:tcPr/>
          <w:p>
            <w:pPr>
              <w:numPr>
                <w:ilvl w:val="0"/>
                <w:numId w:val="0"/>
              </w:numPr>
              <w:spacing w:before="0" w:beforeAutospacing="0" w:after="120" w:afterAutospacing="0" w:line="240" w:lineRule="auto"/>
              <w:ind w:left="0" w:right="0" w:firstLine="0"/>
              <w:jc w:val="left"/>
              <w:outlineLvl w:val="9"/>
            </w:pPr>
            <w:r>
              <w:t>#3</w:t>
            </w:r>
          </w:p>
        </w:tc>
        <w:tc>
          <w:tcPr/>
          <w:p>
            <w:pPr>
              <w:numPr>
                <w:ilvl w:val="0"/>
                <w:numId w:val="0"/>
              </w:numPr>
              <w:spacing w:before="0" w:beforeAutospacing="0" w:after="120" w:afterAutospacing="0" w:line="240" w:lineRule="auto"/>
              <w:ind w:left="0" w:right="0" w:firstLine="0"/>
              <w:jc w:val="left"/>
              <w:outlineLvl w:val="9"/>
            </w:pPr>
          </w:p>
        </w:tc>
        <w:tc>
          <w:tcPr/>
          <w:p>
            <w:pPr>
              <w:numPr>
                <w:ilvl w:val="0"/>
                <w:numId w:val="0"/>
              </w:numPr>
              <w:spacing w:before="0" w:beforeAutospacing="0" w:after="120" w:afterAutospacing="0" w:line="240" w:lineRule="auto"/>
              <w:ind w:left="0" w:right="0" w:firstLine="0"/>
              <w:jc w:val="left"/>
              <w:outlineLvl w:val="9"/>
            </w:pPr>
            <w:r>
              <w:rPr>
                <w:color w:val="008000"/>
              </w:rPr>
              <w:t>Your company's BEA H2H API service configuration has been updated. For details, please log into your account or call (852) 2211 1321.</w:t>
            </w:r>
          </w:p>
        </w:tc>
        <w:tc>
          <w:tcPr/>
          <w:p>
            <w:pPr>
              <w:numPr>
                <w:ilvl w:val="0"/>
                <w:numId w:val="0"/>
              </w:numPr>
              <w:spacing w:before="0" w:beforeAutospacing="0" w:after="120" w:afterAutospacing="0" w:line="240" w:lineRule="auto"/>
              <w:ind w:left="0" w:right="0" w:firstLine="0"/>
              <w:jc w:val="left"/>
              <w:outlineLvl w:val="9"/>
            </w:pPr>
            <w:r>
              <w:rPr>
                <w:color w:val="008000"/>
              </w:rPr>
              <w:t>貴公司的東亞銀行H2H API服務設定已更新。如欲了解更多詳情，請登入你的賬戶或致電(852) 2211 1321。</w:t>
            </w:r>
          </w:p>
        </w:tc>
        <w:tc>
          <w:tcPr/>
          <w:p>
            <w:pPr>
              <w:numPr>
                <w:ilvl w:val="0"/>
                <w:numId w:val="0"/>
              </w:numPr>
              <w:spacing w:before="0" w:beforeAutospacing="0" w:after="120" w:afterAutospacing="0" w:line="240" w:lineRule="auto"/>
              <w:ind w:left="0" w:right="0" w:firstLine="0"/>
              <w:jc w:val="left"/>
              <w:outlineLvl w:val="9"/>
            </w:pPr>
            <w:r>
              <w:rPr>
                <w:color w:val="008000"/>
              </w:rPr>
              <w:t>贵公司的东亚银行H2H API服务设置已更新。如欲了解更多详情，请登录你的账户或致电(852) 2211 1321。</w:t>
            </w:r>
          </w:p>
        </w:tc>
        <w:tc>
          <w:tcPr/>
          <w:p>
            <w:pPr>
              <w:numPr>
                <w:ilvl w:val="0"/>
                <w:numId w:val="0"/>
              </w:numPr>
              <w:spacing w:before="0" w:beforeAutospacing="0" w:after="120" w:afterAutospacing="0" w:line="240" w:lineRule="auto"/>
              <w:ind w:left="0" w:right="0" w:firstLine="0"/>
              <w:jc w:val="left"/>
              <w:outlineLvl w:val="9"/>
            </w:pPr>
          </w:p>
        </w:tc>
      </w:tr>
    </w:tbl>
    <w:p/>
    <w:sectPr w:rsidSect="008B1C6A">
      <w:footerReference w:type="default" r:id="rId15"/>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0A82" w:rsidRPr="00D8012A" w:rsidP="00D8012A" w14:paraId="59123AE0" w14:textId="1CAD98FD">
    <w:pPr>
      <w:pStyle w:val="Footer"/>
    </w:pPr>
    <w:r>
      <w:fldChar w:fldCharType="begin"/>
    </w:r>
    <w:r>
      <w:instrText xml:space="preserve"> STYLEREF "Heading 1" </w:instrText>
    </w:r>
    <w:r>
      <w:fldChar w:fldCharType="separate"/>
    </w:r>
    <w:r>
      <w:t>Template</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7</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221BC" w:rsidRPr="004E4DAA" w:rsidP="004E4DAA" w14:paraId="0F646B39" w14:textId="19E8D967">
    <w:pPr>
      <w:pStyle w:val="Header"/>
      <w:jc w:val="right"/>
      <w:rPr>
        <w:sz w:val="18"/>
        <w:szCs w:val="18"/>
      </w:rPr>
    </w:pPr>
    <w:r w:rsidRPr="009D3DE2">
      <w:rPr>
        <w:sz w:val="18"/>
        <w:szCs w:val="18"/>
      </w:rPr>
      <w:t>Wholesale Host to Host</w:t>
    </w:r>
    <w:r w:rsidRPr="009D3DE2">
      <w:rPr>
        <w:sz w:val="18"/>
        <w:szCs w:val="18"/>
      </w:rPr>
      <w:t xml:space="preserve"> – </w:t>
    </w:r>
    <w:r w:rsidRPr="009D3DE2">
      <w:rPr>
        <w:sz w:val="18"/>
        <w:szCs w:val="18"/>
      </w:rPr>
      <w:t>1.Customer Onboarding BM - Notification (Clear)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num w:numId="1">
    <w:abstractNumId w:val="15"/>
  </w:num>
  <w:num w:numId="2">
    <w:abstractNumId w:val="13"/>
  </w:num>
  <w:num w:numId="3">
    <w:abstractNumId w:val="11"/>
  </w:num>
  <w:num w:numId="4">
    <w:abstractNumId w:val="16"/>
  </w:num>
  <w:num w:numId="5">
    <w:abstractNumId w:val="17"/>
  </w:num>
  <w:num w:numId="6">
    <w:abstractNumId w:val="18"/>
  </w:num>
  <w:num w:numId="7">
    <w:abstractNumId w:val="19"/>
  </w:num>
  <w:num w:numId="8">
    <w:abstractNumId w:val="20"/>
  </w:num>
  <w:num w:numId="9">
    <w:abstractNumId w:val="21"/>
  </w:num>
  <w:num w:numId="10">
    <w:abstractNumId w:val="22"/>
  </w:num>
  <w:num w:numId="11">
    <w:abstractNumId w:val="23"/>
  </w:num>
  <w:num w:numId="12">
    <w:abstractNumId w:val="24"/>
  </w:num>
  <w:num w:numId="13">
    <w:abstractNumId w:val="25"/>
  </w:num>
  <w:num w:numId="14">
    <w:abstractNumId w:val="26"/>
  </w:num>
  <w:num w:numId="15">
    <w:abstractNumId w:val="27"/>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14"/>
  </w:num>
  <w:num w:numId="28">
    <w:abstractNumId w:val="12"/>
  </w:num>
  <w:num w:numId="29">
    <w:abstractNumId w:val="28"/>
  </w:num>
  <w:num w:numId="30">
    <w:abstractNumId w:val="29"/>
  </w:num>
  <w:num w:numId="31">
    <w:abstractNumId w:val="30"/>
  </w:num>
  <w:num w:numId="32">
    <w:abstractNumId w:val="3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yperlink" Target="https://lapxdo13p.intranet.hkbea.com/browse/BCOH2H-597?src=confmacro" TargetMode="External" /><Relationship Id="rId12" Type="http://schemas.openxmlformats.org/officeDocument/2006/relationships/image" Target="media/image1.png" /><Relationship Id="rId13" Type="http://schemas.openxmlformats.org/officeDocument/2006/relationships/image" Target="media/image2.svg" /><Relationship Id="rId14" Type="http://schemas.openxmlformats.org/officeDocument/2006/relationships/hyperlink" Target="https://lapxdo13p.intranet.hkbea.com/browse/BCOH2H-1288?src=confmacro" TargetMode="External" /><Relationship Id="rId15" Type="http://schemas.openxmlformats.org/officeDocument/2006/relationships/footer" Target="footer4.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7</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Apps</cp:lastModifiedBy>
  <cp:revision>114</cp:revision>
  <dcterms:created xsi:type="dcterms:W3CDTF">2016-10-04T14:03:00Z</dcterms:created>
  <dcterms:modified xsi:type="dcterms:W3CDTF">2022-08-23T13:49:00Z</dcterms:modified>
</cp:coreProperties>
</file>