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558" w:rsidRDefault="00F9692D">
      <w:pPr>
        <w:rPr>
          <w:lang w:val="es-ES"/>
        </w:rPr>
      </w:pPr>
      <w:r w:rsidRPr="00F9692D">
        <w:rPr>
          <w:lang w:val="es-ES"/>
        </w:rPr>
        <w:t xml:space="preserve">                           NUEVAS PERSPECTIVAS DE MARKETING B2B Y B2C</w:t>
      </w:r>
    </w:p>
    <w:p w:rsidR="00F9692D" w:rsidRPr="00900DF5" w:rsidRDefault="00900DF5">
      <w:pPr>
        <w:rPr>
          <w:lang w:val="es-ES"/>
        </w:rPr>
      </w:pPr>
      <w:r>
        <w:rPr>
          <w:lang w:val="es-ES"/>
        </w:rPr>
        <w:t xml:space="preserve">Ahora, las empresas </w:t>
      </w:r>
      <w:r w:rsidRPr="00900DF5">
        <w:rPr>
          <w:lang w:val="es-ES"/>
        </w:rPr>
        <w:t xml:space="preserve"> B2C, hacen su pre-presupuesto y se desarrollan, al 60%, en términos de microeconomía, tienen un capital fijo que no cambia, por razones de seguridad, en casos de mayor inflación, localmente, Cuando venderán menos, al preci</w:t>
      </w:r>
      <w:r>
        <w:rPr>
          <w:lang w:val="es-ES"/>
        </w:rPr>
        <w:t>o acordado con</w:t>
      </w:r>
      <w:r w:rsidRPr="00900DF5">
        <w:rPr>
          <w:lang w:val="es-ES"/>
        </w:rPr>
        <w:t xml:space="preserve"> vendedores</w:t>
      </w:r>
      <w:r>
        <w:rPr>
          <w:lang w:val="es-ES"/>
        </w:rPr>
        <w:t xml:space="preserve"> relativos integrales. Luego, en</w:t>
      </w:r>
      <w:r w:rsidRPr="00900DF5">
        <w:rPr>
          <w:lang w:val="es-ES"/>
        </w:rPr>
        <w:t xml:space="preserve"> casos</w:t>
      </w:r>
      <w:r>
        <w:rPr>
          <w:lang w:val="es-ES"/>
        </w:rPr>
        <w:t xml:space="preserve"> iguales</w:t>
      </w:r>
      <w:r w:rsidRPr="00900DF5">
        <w:rPr>
          <w:lang w:val="es-ES"/>
        </w:rPr>
        <w:t>, intentarán vender localmente más productos, pero sin arriesgar</w:t>
      </w:r>
      <w:r>
        <w:rPr>
          <w:lang w:val="es-ES"/>
        </w:rPr>
        <w:t xml:space="preserve"> capital invertido, es que</w:t>
      </w:r>
      <w:r w:rsidRPr="00900DF5">
        <w:rPr>
          <w:lang w:val="es-ES"/>
        </w:rPr>
        <w:t xml:space="preserve"> los fondos de acciones, que funcionan como activos, pero </w:t>
      </w:r>
      <w:r>
        <w:rPr>
          <w:lang w:val="es-ES"/>
        </w:rPr>
        <w:t>en este caso, el capital total sera</w:t>
      </w:r>
      <w:r w:rsidRPr="00900DF5">
        <w:rPr>
          <w:lang w:val="es-ES"/>
        </w:rPr>
        <w:t xml:space="preserve"> para evitar pérdidas en tales casos. Y en s</w:t>
      </w:r>
      <w:r>
        <w:rPr>
          <w:lang w:val="es-ES"/>
        </w:rPr>
        <w:t>u caso, por lo general, siendo</w:t>
      </w:r>
      <w:r w:rsidRPr="00900DF5">
        <w:rPr>
          <w:lang w:val="es-ES"/>
        </w:rPr>
        <w:t xml:space="preserve"> hasta el 60%, tratarán de acordar las ventas con empresas de tasa de intercambio más bajas que uno de sus propios países, para obtener más ingresos de esta manera, pero hasta un 40% de ellos se reinvierten como activos</w:t>
      </w:r>
      <w:r>
        <w:rPr>
          <w:lang w:val="es-ES"/>
        </w:rPr>
        <w:t>.</w:t>
      </w:r>
    </w:p>
    <w:sectPr w:rsidR="00F9692D" w:rsidRPr="00900DF5" w:rsidSect="00EB544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savePreviewPicture/>
  <w:compat/>
  <w:rsids>
    <w:rsidRoot w:val="00F9692D"/>
    <w:rsid w:val="00822197"/>
    <w:rsid w:val="00900DF5"/>
    <w:rsid w:val="00EA31E2"/>
    <w:rsid w:val="00EB5445"/>
    <w:rsid w:val="00F96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4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728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2023-03-14T13:26:00Z</dcterms:created>
  <dcterms:modified xsi:type="dcterms:W3CDTF">2023-03-14T13:32:00Z</dcterms:modified>
</cp:coreProperties>
</file>