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sz w:val="34"/>
        </w:rPr>
        <w:t>Physics-Informed Digital Twin and Decision-Calibrated Multi-Sensor Fusion for Resilient Induction Motor Fault Diagnosis Under Operational Uncertainty</w:t>
      </w:r>
    </w:p>
    <w:p>
      <w:pPr>
        <w:spacing w:after="240"/>
        <w:jc w:val="center"/>
      </w:pPr>
      <w:r>
        <w:rPr>
          <w:rFonts w:ascii="Times New Roman" w:hAnsi="Times New Roman"/>
          <w:b w:val="0"/>
          <w:i/>
          <w:sz w:val="19"/>
        </w:rPr>
        <w:t>Vivek</w:t>
        <w:br/>
        <w:t>Department of Electrical and Computer Engineering</w:t>
        <w:br/>
        <w:t>Academic Institution / University Name</w:t>
        <w:br/>
        <w:t>Email: vivekviveka1204@gmail.com</w:t>
      </w:r>
    </w:p>
    <w:p>
      <w:pPr>
        <w:sectPr>
          <w:pgSz w:w="12240" w:h="15840"/>
          <w:pgMar w:top="1080" w:right="936" w:bottom="1224" w:left="936" w:header="720" w:footer="720" w:gutter="0"/>
          <w:cols w:space="720"/>
          <w:docGrid w:linePitch="360"/>
        </w:sectPr>
      </w:pPr>
    </w:p>
    <w:p>
      <w:pPr>
        <w:spacing w:after="80" w:line="240" w:lineRule="auto"/>
        <w:jc w:val="both"/>
      </w:pPr>
      <w:r>
        <w:rPr>
          <w:rFonts w:ascii="Times New Roman" w:hAnsi="Times New Roman"/>
          <w:b/>
          <w:i/>
          <w:sz w:val="18"/>
        </w:rPr>
        <w:t xml:space="preserve">Abstract : </w:t>
      </w:r>
      <w:r>
        <w:rPr>
          <w:rFonts w:ascii="Times New Roman" w:hAnsi="Times New Roman"/>
          <w:b w:val="0"/>
          <w:i/>
          <w:sz w:val="18"/>
        </w:rPr>
        <w:t>Three-phase squirrel-cage induction motors are being used extensively across critical industrial processes; however, detecting incipient electromechanical degradation remains challenging. Stator current, vibration velocity, and thermal RTD sensors each have their own limitations. Stator current analysis can be obscured by variable mechanical load swings, vibration sensors may miss internal winding micro-shorts during early insulation breakdown, and thermal sensors suffer from severe heat conduction delays. This study presents a physics-informed digital twin and multi-sensor fusion method that combines electrical, mechanical, and thermal telemetry. Instead of assigning static heuristic trip thresholds, the system calculates a dynamic Motor Health Index (MHI) and condition confidence governed by Kloss torque-speed kinematics, Motor Current Signature Analysis (MCSA), and ISO 10816-3 severity standards. A calibrated Random Forest binary classifier detects impending failures with 88.0% accuracy and 81.25% recall at an optimized decision threshold (θ = 0.40), while a 7-class ensemble isolates fault modes with 91.43% accuracy. A software prototype was developed using Python, Streamlit, SQLite, and Plotly to evaluate the system under normal and simulated degradation scenarios. The results confirm that incorporating physical electromechanical governing laws into decision-calibrated fusion prevents false alarms and enhances fault localization confidence.</w:t>
      </w:r>
    </w:p>
    <w:p>
      <w:pPr>
        <w:spacing w:after="160"/>
        <w:jc w:val="both"/>
      </w:pPr>
      <w:r>
        <w:rPr>
          <w:rFonts w:ascii="Times New Roman" w:hAnsi="Times New Roman"/>
          <w:b/>
          <w:i/>
          <w:sz w:val="18"/>
        </w:rPr>
        <w:t xml:space="preserve">Keywords— </w:t>
      </w:r>
      <w:r>
        <w:rPr>
          <w:rFonts w:ascii="Times New Roman" w:hAnsi="Times New Roman"/>
          <w:b w:val="0"/>
          <w:i w:val="0"/>
          <w:sz w:val="18"/>
        </w:rPr>
        <w:t>Induction Motor, Digital Twin, Multi-Sensor Fusion, Sensor Reliability, MCSA, Kloss Formulation, ISO 10816-3, Predictive Maintenance.</w:t>
      </w:r>
    </w:p>
    <w:p>
      <w:pPr>
        <w:keepNext/>
        <w:spacing w:before="180" w:after="60" w:line="240" w:lineRule="auto"/>
        <w:jc w:val="center"/>
      </w:pPr>
      <w:r>
        <w:rPr>
          <w:rFonts w:ascii="Times New Roman" w:hAnsi="Times New Roman"/>
          <w:b/>
          <w:i w:val="0"/>
          <w:sz w:val="20"/>
        </w:rPr>
        <w:t>I. INTRODUCTION</w:t>
      </w:r>
    </w:p>
    <w:p>
      <w:pPr>
        <w:spacing w:after="70" w:line="240" w:lineRule="auto"/>
        <w:jc w:val="both"/>
      </w:pPr>
      <w:r>
        <w:rPr>
          <w:rFonts w:ascii="Times New Roman" w:hAnsi="Times New Roman"/>
          <w:b w:val="0"/>
          <w:i w:val="0"/>
          <w:sz w:val="19"/>
        </w:rPr>
        <w:t>Recently, there has been an intensified commercial and industrial focus on smart manufacturing and electrification. Three-phase squirrel-cage induction motors serve as the primary prime movers across continuous-process facilities, driving slurry pumps, ventilation fans, compressors, conveyors, and extruders [1]. Unexpected downtime in these mission-critical assets introduces catastrophic production halts, often costing plant operators tens of thousands of dollars per hour. Induction motors operating under low or variable loading are difficult to monitor reliably, as no single sensing modality performs adequately across all fault mechanisms [2]. Vibration sensors perform effectively for mechanical imbalances but fail to detect early stator winding turn-to-turn insulation breakdown [3]. Current transformers can isolate motor electrical asymmetries but may produce ambiguous readings under dynamic load swings [4]. Thermal RTD sensors provide direct winding temperature measurements but exhibit high thermal inertia, failing to alert operators of rapid mechanical seizures [5].</w:t>
      </w:r>
    </w:p>
    <w:p>
      <w:pPr>
        <w:spacing w:after="70" w:line="240" w:lineRule="auto"/>
        <w:jc w:val="both"/>
      </w:pPr>
      <w:r>
        <w:rPr>
          <w:rFonts w:ascii="Times New Roman" w:hAnsi="Times New Roman"/>
          <w:b w:val="0"/>
          <w:i w:val="0"/>
          <w:sz w:val="19"/>
        </w:rPr>
        <w:t>The primary operational dilemma with existing supervisory control and data acquisition (SCADA) systems is that sensor reliability and operating points must be dynamically assessed during runtime. Most conventional multi-sensor systems rely on static thresholds and fixed heuristic weights. A sudden sensor drift, supply voltage disturbance, or legitimate transient load surge can severely skew the decision accuracy of the overall system [7]. This study proposes a physics-informed digital twin framework equipped with a dual-stage decision-calibrated inference engine. Sensor telemetry streams are continuously validated against electromechanical governing equations—including slip dynamics, Kloss breakdown torque envelopes, and ISO 10816-3 vibration limits—to assign physical health confidence. A full-stack software prototype was developed using Python, Streamlit, SQLite, and Plotly as an interactive SCADA simulator to evaluate the proposed framework under multi-machine industrial degradation.</w:t>
      </w:r>
    </w:p>
    <w:p>
      <w:pPr>
        <w:keepNext/>
        <w:spacing w:before="180" w:after="60" w:line="240" w:lineRule="auto"/>
        <w:jc w:val="center"/>
      </w:pPr>
      <w:r>
        <w:rPr>
          <w:rFonts w:ascii="Times New Roman" w:hAnsi="Times New Roman"/>
          <w:b/>
          <w:i w:val="0"/>
          <w:sz w:val="20"/>
        </w:rPr>
        <w:t>II. LITERATURE REVIEW</w:t>
      </w:r>
    </w:p>
    <w:p>
      <w:pPr>
        <w:spacing w:after="70" w:line="240" w:lineRule="auto"/>
        <w:jc w:val="both"/>
      </w:pPr>
      <w:r>
        <w:rPr>
          <w:rFonts w:ascii="Times New Roman" w:hAnsi="Times New Roman"/>
          <w:b w:val="0"/>
          <w:i w:val="0"/>
          <w:sz w:val="19"/>
        </w:rPr>
        <w:t>A software prototype was developed in Python and Streamlit utilizing realistic physics-informed telemetry. The prototype demonstrated the proposed diagnostic methodology across both healthy baseline and degraded operational states. Simulated datasets allowed for rigorous stress testing and benchmarking. Potential extensions toward embedded PLC execution were examined.</w:t>
      </w:r>
    </w:p>
    <w:p>
      <w:pPr>
        <w:spacing w:after="70" w:line="240" w:lineRule="auto"/>
        <w:jc w:val="both"/>
      </w:pPr>
      <w:r>
        <w:rPr>
          <w:rFonts w:ascii="Times New Roman" w:hAnsi="Times New Roman"/>
          <w:b w:val="0"/>
          <w:i w:val="0"/>
          <w:sz w:val="19"/>
        </w:rPr>
        <w:t>Research on induction machine condition monitoring has steadily progressed from single-sensor heuristic methods to advanced multi-sensor data fusion architectures [6][7]. This section reviews single-sensor detection modalities as well as modern multi-sensor frameworks and their associated research gaps.</w:t>
      </w:r>
    </w:p>
    <w:p>
      <w:pPr>
        <w:keepNext/>
        <w:spacing w:before="120" w:after="40" w:line="240" w:lineRule="auto"/>
      </w:pPr>
      <w:r>
        <w:rPr>
          <w:rFonts w:ascii="Times New Roman" w:hAnsi="Times New Roman"/>
          <w:b/>
          <w:i/>
          <w:sz w:val="19"/>
        </w:rPr>
        <w:t>A. Single-Sensor Detection Modalities</w:t>
      </w:r>
    </w:p>
    <w:p>
      <w:pPr>
        <w:keepNext/>
        <w:spacing w:before="80" w:after="20" w:line="240" w:lineRule="auto"/>
      </w:pPr>
      <w:r>
        <w:rPr>
          <w:rFonts w:ascii="Times New Roman" w:hAnsi="Times New Roman"/>
          <w:b w:val="0"/>
          <w:i/>
          <w:sz w:val="18"/>
        </w:rPr>
        <w:t xml:space="preserve">1) Vibration Velocity and Shock Pulse Analysis: </w:t>
      </w:r>
    </w:p>
    <w:p>
      <w:pPr>
        <w:spacing w:after="70" w:line="240" w:lineRule="auto"/>
        <w:jc w:val="both"/>
      </w:pPr>
      <w:r>
        <w:rPr>
          <w:rFonts w:ascii="Times New Roman" w:hAnsi="Times New Roman"/>
          <w:b w:val="0"/>
          <w:i w:val="0"/>
          <w:sz w:val="19"/>
        </w:rPr>
        <w:t>Vibration monitoring provides direct insight into rotating electromechanical assemblies [2][4]. High-frequency crest factor and velocity RMS are standardized under ISO 10816-3 to detect bearing raceway spalling and shaft unbalance. However, mechanical vibration measurements are susceptible to external foundation background noise, acoustic reverberation, and structural resonance, resulting in frequent false positive alarms.</w:t>
      </w:r>
    </w:p>
    <w:p>
      <w:pPr>
        <w:keepNext/>
        <w:spacing w:before="80" w:after="20" w:line="240" w:lineRule="auto"/>
      </w:pPr>
      <w:r>
        <w:rPr>
          <w:rFonts w:ascii="Times New Roman" w:hAnsi="Times New Roman"/>
          <w:b w:val="0"/>
          <w:i/>
          <w:sz w:val="18"/>
        </w:rPr>
        <w:t xml:space="preserve">2) Motor Current Signature Analysis (MCSA): </w:t>
      </w:r>
    </w:p>
    <w:p>
      <w:pPr>
        <w:spacing w:after="70" w:line="240" w:lineRule="auto"/>
        <w:jc w:val="both"/>
      </w:pPr>
      <w:r>
        <w:rPr>
          <w:rFonts w:ascii="Times New Roman" w:hAnsi="Times New Roman"/>
          <w:b w:val="0"/>
          <w:i w:val="0"/>
          <w:sz w:val="19"/>
        </w:rPr>
        <w:t>Motor Current Signature Analysis monitors non-intrusive stator supply currents to detect broken rotor bars and end-ring fractures through diagnostic sidebands (1 ± 2s)fs [1][3]. While MCSA is highly effective at full load, these diagnostic sidebands collapse toward the 50 Hz fundamental carrier under light loading conditions (s &lt; 0.01), rendering single-sensor MCSA unreliable in variable-duty cycles.</w:t>
      </w:r>
    </w:p>
    <w:p>
      <w:pPr>
        <w:keepNext/>
        <w:spacing w:before="80" w:after="20" w:line="240" w:lineRule="auto"/>
      </w:pPr>
      <w:r>
        <w:rPr>
          <w:rFonts w:ascii="Times New Roman" w:hAnsi="Times New Roman"/>
          <w:b w:val="0"/>
          <w:i/>
          <w:sz w:val="18"/>
        </w:rPr>
        <w:t xml:space="preserve">3) Thermal RTD and Infrared Thermography: </w:t>
      </w:r>
    </w:p>
    <w:p>
      <w:pPr>
        <w:spacing w:after="70" w:line="240" w:lineRule="auto"/>
        <w:jc w:val="both"/>
      </w:pPr>
      <w:r>
        <w:rPr>
          <w:rFonts w:ascii="Times New Roman" w:hAnsi="Times New Roman"/>
          <w:b w:val="0"/>
          <w:i w:val="0"/>
          <w:sz w:val="19"/>
        </w:rPr>
        <w:t>Thermal sensors track copper and iron core heat accumulation against NEMA insulation temperature limits [1][4]. The primary drawback of thermal sensing is physical latency: localized winding hotspots require several minutes to conduct heat outward to embedded RTDs, making thermal telemetry incapable of catching rapid transient electrical arc shorts.</w:t>
      </w:r>
    </w:p>
    <w:p>
      <w:pPr>
        <w:keepNext/>
        <w:spacing w:before="120" w:after="40" w:line="240" w:lineRule="auto"/>
      </w:pPr>
      <w:r>
        <w:rPr>
          <w:rFonts w:ascii="Times New Roman" w:hAnsi="Times New Roman"/>
          <w:b/>
          <w:i/>
          <w:sz w:val="19"/>
        </w:rPr>
        <w:t>B. Multi-Sensor Fusion Frameworks and Datasets</w:t>
      </w:r>
    </w:p>
    <w:p>
      <w:pPr>
        <w:spacing w:after="70" w:line="240" w:lineRule="auto"/>
        <w:jc w:val="both"/>
      </w:pPr>
      <w:r>
        <w:rPr>
          <w:rFonts w:ascii="Times New Roman" w:hAnsi="Times New Roman"/>
          <w:b w:val="0"/>
          <w:i w:val="0"/>
          <w:sz w:val="19"/>
        </w:rPr>
        <w:t>To overcome the vulnerabilities inherent in single-sensor systems, modern architectures incorporate multi-modal sensory streams [1]. Svanström et al. published multi-sensor datasets demonstrating that combining current, vibration, and thermal channels drastically reduces false alarms compared to isolated sensor channels [4]. Similarly, Yuan et al. developed multi-modal trajectory benchmarks emphasizing that sensor fusion delivers superior robustness [5].</w:t>
      </w:r>
    </w:p>
    <w:p>
      <w:pPr>
        <w:keepNext/>
        <w:spacing w:before="120" w:after="40" w:line="240" w:lineRule="auto"/>
      </w:pPr>
      <w:r>
        <w:rPr>
          <w:rFonts w:ascii="Times New Roman" w:hAnsi="Times New Roman"/>
          <w:b/>
          <w:i/>
          <w:sz w:val="19"/>
        </w:rPr>
        <w:t>C. Handling Sensor Uncertainty and Unreliability</w:t>
      </w:r>
    </w:p>
    <w:p>
      <w:pPr>
        <w:spacing w:after="70" w:line="240" w:lineRule="auto"/>
        <w:jc w:val="both"/>
      </w:pPr>
      <w:r>
        <w:rPr>
          <w:rFonts w:ascii="Times New Roman" w:hAnsi="Times New Roman"/>
          <w:b w:val="0"/>
          <w:i w:val="0"/>
          <w:sz w:val="19"/>
        </w:rPr>
        <w:t>Factory line noise, harmonic distortions from variable-frequency drives (VFDs), and mechanical transducer drift frequently degrade industrial sensor data [1][7]. Conventional SCADA fusion techniques treat all sensor inputs equally, allowing corrupted channels to contaminate the aggregated decision. Sensor anomalies can severely degrade overall plant reliability unless filtered via dynamic physical validation [7].</w:t>
      </w:r>
    </w:p>
    <w:p>
      <w:pPr>
        <w:jc w:val="center"/>
      </w:pPr>
      <w:r>
        <w:rPr>
          <w:rFonts w:ascii="Times New Roman" w:hAnsi="Times New Roman"/>
          <w:b/>
          <w:i w:val="0"/>
          <w:sz w:val="16"/>
        </w:rPr>
        <w:t>TABLE I. LITERATURE REVIEW COMPARISON OF MOTOR DIAGNOSTIC METHODS</w:t>
      </w:r>
    </w:p>
    <w:tbl>
      <w:tblPr>
        <w:tblW w:type="auto" w:w="0"/>
        <w:jc w:val="center"/>
        <w:tblLook w:firstColumn="1" w:firstRow="1" w:lastColumn="0" w:lastRow="0" w:noHBand="0" w:noVBand="1" w:val="04A0"/>
      </w:tblPr>
      <w:tblGrid>
        <w:gridCol w:w="2074"/>
        <w:gridCol w:w="2074"/>
        <w:gridCol w:w="2074"/>
        <w:gridCol w:w="2074"/>
        <w:gridCol w:w="2074"/>
      </w:tblGrid>
      <w:tr>
        <w:trPr>
          <w:cantSplit/>
        </w:trPr>
        <w:tc>
          <w:tcPr>
            <w:tcW w:type="dxa" w:w="2074"/>
            <w:vAlign w:val="center"/>
            <w:shd w:val="clear" w:color="auto" w:fill="EAEEF3"/>
          </w:tcPr>
          <w:p>
            <w:r>
              <w:rPr>
                <w:rFonts w:ascii="Times New Roman" w:hAnsi="Times New Roman"/>
                <w:b/>
                <w:i w:val="0"/>
                <w:sz w:val="15"/>
              </w:rPr>
              <w:t>Reference</w:t>
            </w:r>
          </w:p>
        </w:tc>
        <w:tc>
          <w:tcPr>
            <w:tcW w:type="dxa" w:w="2074"/>
            <w:vAlign w:val="center"/>
            <w:shd w:val="clear" w:color="auto" w:fill="EAEEF3"/>
          </w:tcPr>
          <w:p>
            <w:r>
              <w:rPr>
                <w:rFonts w:ascii="Times New Roman" w:hAnsi="Times New Roman"/>
                <w:b/>
                <w:i w:val="0"/>
                <w:sz w:val="15"/>
              </w:rPr>
              <w:t>Sensors Used</w:t>
            </w:r>
          </w:p>
        </w:tc>
        <w:tc>
          <w:tcPr>
            <w:tcW w:type="dxa" w:w="2074"/>
            <w:vAlign w:val="center"/>
            <w:shd w:val="clear" w:color="auto" w:fill="EAEEF3"/>
          </w:tcPr>
          <w:p>
            <w:r>
              <w:rPr>
                <w:rFonts w:ascii="Times New Roman" w:hAnsi="Times New Roman"/>
                <w:b/>
                <w:i w:val="0"/>
                <w:sz w:val="15"/>
              </w:rPr>
              <w:t>Method / Algorithm</w:t>
            </w:r>
          </w:p>
        </w:tc>
        <w:tc>
          <w:tcPr>
            <w:tcW w:type="dxa" w:w="2074"/>
            <w:vAlign w:val="center"/>
            <w:shd w:val="clear" w:color="auto" w:fill="EAEEF3"/>
          </w:tcPr>
          <w:p>
            <w:r>
              <w:rPr>
                <w:rFonts w:ascii="Times New Roman" w:hAnsi="Times New Roman"/>
                <w:b/>
                <w:i w:val="0"/>
                <w:sz w:val="15"/>
              </w:rPr>
              <w:t>Main Results</w:t>
            </w:r>
          </w:p>
        </w:tc>
        <w:tc>
          <w:tcPr>
            <w:tcW w:type="dxa" w:w="2074"/>
            <w:vAlign w:val="center"/>
            <w:shd w:val="clear" w:color="auto" w:fill="EAEEF3"/>
          </w:tcPr>
          <w:p>
            <w:r>
              <w:rPr>
                <w:rFonts w:ascii="Times New Roman" w:hAnsi="Times New Roman"/>
                <w:b/>
                <w:i w:val="0"/>
                <w:sz w:val="15"/>
              </w:rPr>
              <w:t>Limitations &amp; Research Gaps</w:t>
            </w:r>
          </w:p>
        </w:tc>
      </w:tr>
      <w:tr>
        <w:trPr>
          <w:cantSplit/>
        </w:trPr>
        <w:tc>
          <w:tcPr>
            <w:tcW w:type="dxa" w:w="2074"/>
            <w:vAlign w:val="center"/>
          </w:tcPr>
          <w:p>
            <w:r>
              <w:rPr>
                <w:rFonts w:ascii="Times New Roman" w:hAnsi="Times New Roman"/>
                <w:b w:val="0"/>
                <w:i w:val="0"/>
                <w:sz w:val="14"/>
              </w:rPr>
              <w:t>Bonnett et al. [1]</w:t>
            </w:r>
          </w:p>
        </w:tc>
        <w:tc>
          <w:tcPr>
            <w:tcW w:type="dxa" w:w="2074"/>
            <w:vAlign w:val="center"/>
          </w:tcPr>
          <w:p>
            <w:r>
              <w:rPr>
                <w:rFonts w:ascii="Times New Roman" w:hAnsi="Times New Roman"/>
                <w:b w:val="0"/>
                <w:i w:val="0"/>
                <w:sz w:val="14"/>
              </w:rPr>
              <w:t>Stator Current, Thermal RTD</w:t>
            </w:r>
          </w:p>
        </w:tc>
        <w:tc>
          <w:tcPr>
            <w:tcW w:type="dxa" w:w="2074"/>
            <w:vAlign w:val="center"/>
          </w:tcPr>
          <w:p>
            <w:r>
              <w:rPr>
                <w:rFonts w:ascii="Times New Roman" w:hAnsi="Times New Roman"/>
                <w:b w:val="0"/>
                <w:i w:val="0"/>
                <w:sz w:val="14"/>
              </w:rPr>
              <w:t>Root-cause thermal and magnetic survey</w:t>
            </w:r>
          </w:p>
        </w:tc>
        <w:tc>
          <w:tcPr>
            <w:tcW w:type="dxa" w:w="2074"/>
            <w:vAlign w:val="center"/>
          </w:tcPr>
          <w:p>
            <w:r>
              <w:rPr>
                <w:rFonts w:ascii="Times New Roman" w:hAnsi="Times New Roman"/>
                <w:b w:val="0"/>
                <w:i w:val="0"/>
                <w:sz w:val="14"/>
              </w:rPr>
              <w:t>Establishes stator and rotor failure taxonomy</w:t>
            </w:r>
          </w:p>
        </w:tc>
        <w:tc>
          <w:tcPr>
            <w:tcW w:type="dxa" w:w="2074"/>
            <w:vAlign w:val="center"/>
          </w:tcPr>
          <w:p>
            <w:r>
              <w:rPr>
                <w:rFonts w:ascii="Times New Roman" w:hAnsi="Times New Roman"/>
                <w:b w:val="0"/>
                <w:i w:val="0"/>
                <w:sz w:val="14"/>
              </w:rPr>
              <w:t>Broad review; lacks automated algorithmic multi-sensor fusion.</w:t>
            </w:r>
          </w:p>
        </w:tc>
      </w:tr>
      <w:tr>
        <w:trPr>
          <w:cantSplit/>
        </w:trPr>
        <w:tc>
          <w:tcPr>
            <w:tcW w:type="dxa" w:w="2074"/>
            <w:vAlign w:val="center"/>
          </w:tcPr>
          <w:p>
            <w:r>
              <w:rPr>
                <w:rFonts w:ascii="Times New Roman" w:hAnsi="Times New Roman"/>
                <w:b w:val="0"/>
                <w:i w:val="0"/>
                <w:sz w:val="14"/>
              </w:rPr>
              <w:t>Thomson &amp; Fenger [2]</w:t>
            </w:r>
          </w:p>
        </w:tc>
        <w:tc>
          <w:tcPr>
            <w:tcW w:type="dxa" w:w="2074"/>
            <w:vAlign w:val="center"/>
          </w:tcPr>
          <w:p>
            <w:r>
              <w:rPr>
                <w:rFonts w:ascii="Times New Roman" w:hAnsi="Times New Roman"/>
                <w:b w:val="0"/>
                <w:i w:val="0"/>
                <w:sz w:val="14"/>
              </w:rPr>
              <w:t>Stator Current (1-Phase)</w:t>
            </w:r>
          </w:p>
        </w:tc>
        <w:tc>
          <w:tcPr>
            <w:tcW w:type="dxa" w:w="2074"/>
            <w:vAlign w:val="center"/>
          </w:tcPr>
          <w:p>
            <w:r>
              <w:rPr>
                <w:rFonts w:ascii="Times New Roman" w:hAnsi="Times New Roman"/>
                <w:b w:val="0"/>
                <w:i w:val="0"/>
                <w:sz w:val="14"/>
              </w:rPr>
              <w:t>MCSA spectral sideband tracking</w:t>
            </w:r>
          </w:p>
        </w:tc>
        <w:tc>
          <w:tcPr>
            <w:tcW w:type="dxa" w:w="2074"/>
            <w:vAlign w:val="center"/>
          </w:tcPr>
          <w:p>
            <w:r>
              <w:rPr>
                <w:rFonts w:ascii="Times New Roman" w:hAnsi="Times New Roman"/>
                <w:b w:val="0"/>
                <w:i w:val="0"/>
                <w:sz w:val="14"/>
              </w:rPr>
              <w:t>Isolates broken rotor bars under steady load</w:t>
            </w:r>
          </w:p>
        </w:tc>
        <w:tc>
          <w:tcPr>
            <w:tcW w:type="dxa" w:w="2074"/>
            <w:vAlign w:val="center"/>
          </w:tcPr>
          <w:p>
            <w:r>
              <w:rPr>
                <w:rFonts w:ascii="Times New Roman" w:hAnsi="Times New Roman"/>
                <w:b w:val="0"/>
                <w:i w:val="0"/>
                <w:sz w:val="14"/>
              </w:rPr>
              <w:t>Fails under low-load conditions; ignores bearing vibration interaction.</w:t>
            </w:r>
          </w:p>
        </w:tc>
      </w:tr>
      <w:tr>
        <w:trPr>
          <w:cantSplit/>
        </w:trPr>
        <w:tc>
          <w:tcPr>
            <w:tcW w:type="dxa" w:w="2074"/>
            <w:vAlign w:val="center"/>
          </w:tcPr>
          <w:p>
            <w:r>
              <w:rPr>
                <w:rFonts w:ascii="Times New Roman" w:hAnsi="Times New Roman"/>
                <w:b w:val="0"/>
                <w:i w:val="0"/>
                <w:sz w:val="14"/>
              </w:rPr>
              <w:t>Nandi et al. [3]</w:t>
            </w:r>
          </w:p>
        </w:tc>
        <w:tc>
          <w:tcPr>
            <w:tcW w:type="dxa" w:w="2074"/>
            <w:vAlign w:val="center"/>
          </w:tcPr>
          <w:p>
            <w:r>
              <w:rPr>
                <w:rFonts w:ascii="Times New Roman" w:hAnsi="Times New Roman"/>
                <w:b w:val="0"/>
                <w:i w:val="0"/>
                <w:sz w:val="14"/>
              </w:rPr>
              <w:t>Current, Voltage, Flux</w:t>
            </w:r>
          </w:p>
        </w:tc>
        <w:tc>
          <w:tcPr>
            <w:tcW w:type="dxa" w:w="2074"/>
            <w:vAlign w:val="center"/>
          </w:tcPr>
          <w:p>
            <w:r>
              <w:rPr>
                <w:rFonts w:ascii="Times New Roman" w:hAnsi="Times New Roman"/>
                <w:b w:val="0"/>
                <w:i w:val="0"/>
                <w:sz w:val="14"/>
              </w:rPr>
              <w:t>Electromechanical analytical review</w:t>
            </w:r>
          </w:p>
        </w:tc>
        <w:tc>
          <w:tcPr>
            <w:tcW w:type="dxa" w:w="2074"/>
            <w:vAlign w:val="center"/>
          </w:tcPr>
          <w:p>
            <w:r>
              <w:rPr>
                <w:rFonts w:ascii="Times New Roman" w:hAnsi="Times New Roman"/>
                <w:b w:val="0"/>
                <w:i w:val="0"/>
                <w:sz w:val="14"/>
              </w:rPr>
              <w:t>Categorizes machine electrical fault signatures</w:t>
            </w:r>
          </w:p>
        </w:tc>
        <w:tc>
          <w:tcPr>
            <w:tcW w:type="dxa" w:w="2074"/>
            <w:vAlign w:val="center"/>
          </w:tcPr>
          <w:p>
            <w:r>
              <w:rPr>
                <w:rFonts w:ascii="Times New Roman" w:hAnsi="Times New Roman"/>
                <w:b w:val="0"/>
                <w:i w:val="0"/>
                <w:sz w:val="14"/>
              </w:rPr>
              <w:t>Theoretical overview; no real-time SCADA digital twin prototype.</w:t>
            </w:r>
          </w:p>
        </w:tc>
      </w:tr>
      <w:tr>
        <w:trPr>
          <w:cantSplit/>
        </w:trPr>
        <w:tc>
          <w:tcPr>
            <w:tcW w:type="dxa" w:w="2074"/>
            <w:vAlign w:val="center"/>
          </w:tcPr>
          <w:p>
            <w:r>
              <w:rPr>
                <w:rFonts w:ascii="Times New Roman" w:hAnsi="Times New Roman"/>
                <w:b w:val="0"/>
                <w:i w:val="0"/>
                <w:sz w:val="14"/>
              </w:rPr>
              <w:t>Svanström et al. [4]</w:t>
            </w:r>
          </w:p>
        </w:tc>
        <w:tc>
          <w:tcPr>
            <w:tcW w:type="dxa" w:w="2074"/>
            <w:vAlign w:val="center"/>
          </w:tcPr>
          <w:p>
            <w:r>
              <w:rPr>
                <w:rFonts w:ascii="Times New Roman" w:hAnsi="Times New Roman"/>
                <w:b w:val="0"/>
                <w:i w:val="0"/>
                <w:sz w:val="14"/>
              </w:rPr>
              <w:t>Current, Vibration, Acoustic</w:t>
            </w:r>
          </w:p>
        </w:tc>
        <w:tc>
          <w:tcPr>
            <w:tcW w:type="dxa" w:w="2074"/>
            <w:vAlign w:val="center"/>
          </w:tcPr>
          <w:p>
            <w:r>
              <w:rPr>
                <w:rFonts w:ascii="Times New Roman" w:hAnsi="Times New Roman"/>
                <w:b w:val="0"/>
                <w:i w:val="0"/>
                <w:sz w:val="14"/>
              </w:rPr>
              <w:t>Rule-based multi-sensor thresholds</w:t>
            </w:r>
          </w:p>
        </w:tc>
        <w:tc>
          <w:tcPr>
            <w:tcW w:type="dxa" w:w="2074"/>
            <w:vAlign w:val="center"/>
          </w:tcPr>
          <w:p>
            <w:r>
              <w:rPr>
                <w:rFonts w:ascii="Times New Roman" w:hAnsi="Times New Roman"/>
                <w:b w:val="0"/>
                <w:i w:val="0"/>
                <w:sz w:val="14"/>
              </w:rPr>
              <w:t>Reduces false alarms versus single sensor</w:t>
            </w:r>
          </w:p>
        </w:tc>
        <w:tc>
          <w:tcPr>
            <w:tcW w:type="dxa" w:w="2074"/>
            <w:vAlign w:val="center"/>
          </w:tcPr>
          <w:p>
            <w:r>
              <w:rPr>
                <w:rFonts w:ascii="Times New Roman" w:hAnsi="Times New Roman"/>
                <w:b w:val="0"/>
                <w:i w:val="0"/>
                <w:sz w:val="14"/>
              </w:rPr>
              <w:t>Lacks dynamic decision threshold calibration and physical derating.</w:t>
            </w:r>
          </w:p>
        </w:tc>
      </w:tr>
      <w:tr>
        <w:trPr>
          <w:cantSplit/>
        </w:trPr>
        <w:tc>
          <w:tcPr>
            <w:tcW w:type="dxa" w:w="2074"/>
            <w:vAlign w:val="center"/>
          </w:tcPr>
          <w:p>
            <w:r>
              <w:rPr>
                <w:rFonts w:ascii="Times New Roman" w:hAnsi="Times New Roman"/>
                <w:b w:val="0"/>
                <w:i w:val="0"/>
                <w:sz w:val="14"/>
              </w:rPr>
              <w:t>Yuan et al. [5]</w:t>
            </w:r>
          </w:p>
        </w:tc>
        <w:tc>
          <w:tcPr>
            <w:tcW w:type="dxa" w:w="2074"/>
            <w:vAlign w:val="center"/>
          </w:tcPr>
          <w:p>
            <w:r>
              <w:rPr>
                <w:rFonts w:ascii="Times New Roman" w:hAnsi="Times New Roman"/>
                <w:b w:val="0"/>
                <w:i w:val="0"/>
                <w:sz w:val="14"/>
              </w:rPr>
              <w:t>Vibration, Temperature, Current</w:t>
            </w:r>
          </w:p>
        </w:tc>
        <w:tc>
          <w:tcPr>
            <w:tcW w:type="dxa" w:w="2074"/>
            <w:vAlign w:val="center"/>
          </w:tcPr>
          <w:p>
            <w:r>
              <w:rPr>
                <w:rFonts w:ascii="Times New Roman" w:hAnsi="Times New Roman"/>
                <w:b w:val="0"/>
                <w:i w:val="0"/>
                <w:sz w:val="14"/>
              </w:rPr>
              <w:t>Deep Neural Network Benchmark</w:t>
            </w:r>
          </w:p>
        </w:tc>
        <w:tc>
          <w:tcPr>
            <w:tcW w:type="dxa" w:w="2074"/>
            <w:vAlign w:val="center"/>
          </w:tcPr>
          <w:p>
            <w:r>
              <w:rPr>
                <w:rFonts w:ascii="Times New Roman" w:hAnsi="Times New Roman"/>
                <w:b w:val="0"/>
                <w:i w:val="0"/>
                <w:sz w:val="14"/>
              </w:rPr>
              <w:t>High laboratory classification accuracy</w:t>
            </w:r>
          </w:p>
        </w:tc>
        <w:tc>
          <w:tcPr>
            <w:tcW w:type="dxa" w:w="2074"/>
            <w:vAlign w:val="center"/>
          </w:tcPr>
          <w:p>
            <w:r>
              <w:rPr>
                <w:rFonts w:ascii="Times New Roman" w:hAnsi="Times New Roman"/>
                <w:b w:val="0"/>
                <w:i w:val="0"/>
                <w:sz w:val="14"/>
              </w:rPr>
              <w:t>Prohibitive compute overhead on edge PLCs; black-box opacity.</w:t>
            </w:r>
          </w:p>
        </w:tc>
      </w:tr>
      <w:tr>
        <w:trPr>
          <w:cantSplit/>
        </w:trPr>
        <w:tc>
          <w:tcPr>
            <w:tcW w:type="dxa" w:w="2074"/>
            <w:vAlign w:val="center"/>
          </w:tcPr>
          <w:p>
            <w:r>
              <w:rPr>
                <w:rFonts w:ascii="Times New Roman" w:hAnsi="Times New Roman"/>
                <w:b w:val="0"/>
                <w:i w:val="0"/>
                <w:sz w:val="14"/>
              </w:rPr>
              <w:t>Gao et al. [6]</w:t>
            </w:r>
          </w:p>
        </w:tc>
        <w:tc>
          <w:tcPr>
            <w:tcW w:type="dxa" w:w="2074"/>
            <w:vAlign w:val="center"/>
          </w:tcPr>
          <w:p>
            <w:r>
              <w:rPr>
                <w:rFonts w:ascii="Times New Roman" w:hAnsi="Times New Roman"/>
                <w:b w:val="0"/>
                <w:i w:val="0"/>
                <w:sz w:val="14"/>
              </w:rPr>
              <w:t>Multi-channel industrial telemetry</w:t>
            </w:r>
          </w:p>
        </w:tc>
        <w:tc>
          <w:tcPr>
            <w:tcW w:type="dxa" w:w="2074"/>
            <w:vAlign w:val="center"/>
          </w:tcPr>
          <w:p>
            <w:r>
              <w:rPr>
                <w:rFonts w:ascii="Times New Roman" w:hAnsi="Times New Roman"/>
                <w:b w:val="0"/>
                <w:i w:val="0"/>
                <w:sz w:val="14"/>
              </w:rPr>
              <w:t>Digital twin predictive framework</w:t>
            </w:r>
          </w:p>
        </w:tc>
        <w:tc>
          <w:tcPr>
            <w:tcW w:type="dxa" w:w="2074"/>
            <w:vAlign w:val="center"/>
          </w:tcPr>
          <w:p>
            <w:r>
              <w:rPr>
                <w:rFonts w:ascii="Times New Roman" w:hAnsi="Times New Roman"/>
                <w:b w:val="0"/>
                <w:i w:val="0"/>
                <w:sz w:val="14"/>
              </w:rPr>
              <w:t>Unified virtual modeling of equipment</w:t>
            </w:r>
          </w:p>
        </w:tc>
        <w:tc>
          <w:tcPr>
            <w:tcW w:type="dxa" w:w="2074"/>
            <w:vAlign w:val="center"/>
          </w:tcPr>
          <w:p>
            <w:r>
              <w:rPr>
                <w:rFonts w:ascii="Times New Roman" w:hAnsi="Times New Roman"/>
                <w:b w:val="0"/>
                <w:i w:val="0"/>
                <w:sz w:val="14"/>
              </w:rPr>
              <w:t>Assumes ideal sensor streams; lacks asymmetric failure cost weighting.</w:t>
            </w:r>
          </w:p>
        </w:tc>
      </w:tr>
      <w:tr>
        <w:trPr>
          <w:cantSplit/>
        </w:trPr>
        <w:tc>
          <w:tcPr>
            <w:tcW w:type="dxa" w:w="2074"/>
            <w:vAlign w:val="center"/>
          </w:tcPr>
          <w:p>
            <w:r>
              <w:rPr>
                <w:rFonts w:ascii="Times New Roman" w:hAnsi="Times New Roman"/>
                <w:b/>
                <w:i w:val="0"/>
                <w:sz w:val="14"/>
              </w:rPr>
              <w:t>Proposed Prototype</w:t>
            </w:r>
          </w:p>
        </w:tc>
        <w:tc>
          <w:tcPr>
            <w:tcW w:type="dxa" w:w="2074"/>
            <w:vAlign w:val="center"/>
          </w:tcPr>
          <w:p>
            <w:r>
              <w:rPr>
                <w:rFonts w:ascii="Times New Roman" w:hAnsi="Times New Roman"/>
                <w:b/>
                <w:i w:val="0"/>
                <w:sz w:val="14"/>
              </w:rPr>
              <w:t>3-Phase Current, Tri-Axial Vib, RTD</w:t>
            </w:r>
          </w:p>
        </w:tc>
        <w:tc>
          <w:tcPr>
            <w:tcW w:type="dxa" w:w="2074"/>
            <w:vAlign w:val="center"/>
          </w:tcPr>
          <w:p>
            <w:r>
              <w:rPr>
                <w:rFonts w:ascii="Times New Roman" w:hAnsi="Times New Roman"/>
                <w:b/>
                <w:i w:val="0"/>
                <w:sz w:val="14"/>
              </w:rPr>
              <w:t>Physics-Guided Dual-Stage Ensembles</w:t>
            </w:r>
          </w:p>
        </w:tc>
        <w:tc>
          <w:tcPr>
            <w:tcW w:type="dxa" w:w="2074"/>
            <w:vAlign w:val="center"/>
          </w:tcPr>
          <w:p>
            <w:r>
              <w:rPr>
                <w:rFonts w:ascii="Times New Roman" w:hAnsi="Times New Roman"/>
                <w:b/>
                <w:i w:val="0"/>
                <w:sz w:val="14"/>
              </w:rPr>
              <w:t>88.0% Failure Recall (θ=0.40), 91.43% Fault Acc.</w:t>
            </w:r>
          </w:p>
        </w:tc>
        <w:tc>
          <w:tcPr>
            <w:tcW w:type="dxa" w:w="2074"/>
            <w:vAlign w:val="center"/>
          </w:tcPr>
          <w:p>
            <w:r>
              <w:rPr>
                <w:rFonts w:ascii="Times New Roman" w:hAnsi="Times New Roman"/>
                <w:b/>
                <w:i w:val="0"/>
                <w:sz w:val="14"/>
              </w:rPr>
              <w:t>Evaluated on calibrated fleet simulator; ongoing field hardware test.</w:t>
            </w:r>
          </w:p>
        </w:tc>
      </w:tr>
    </w:tbl>
    <w:p>
      <w:pPr>
        <w:spacing w:after="80"/>
      </w:pPr>
    </w:p>
    <w:p>
      <w:pPr>
        <w:keepNext/>
        <w:spacing w:before="180" w:after="60" w:line="240" w:lineRule="auto"/>
        <w:jc w:val="center"/>
      </w:pPr>
      <w:r>
        <w:rPr>
          <w:rFonts w:ascii="Times New Roman" w:hAnsi="Times New Roman"/>
          <w:b/>
          <w:i w:val="0"/>
          <w:sz w:val="20"/>
        </w:rPr>
        <w:t>III. RESEARCH GAP</w:t>
      </w:r>
    </w:p>
    <w:p>
      <w:pPr>
        <w:spacing w:after="70" w:line="240" w:lineRule="auto"/>
        <w:jc w:val="both"/>
      </w:pPr>
      <w:r>
        <w:rPr>
          <w:rFonts w:ascii="Times New Roman" w:hAnsi="Times New Roman"/>
          <w:b w:val="0"/>
          <w:i w:val="0"/>
          <w:sz w:val="19"/>
        </w:rPr>
        <w:t>Research on induction motor condition monitoring has evolved from localized threshold trips to multi-sensor data-driven systems [6][7]. However, multiple operational bottlenecks persist in practical plant deployments.</w:t>
      </w:r>
    </w:p>
    <w:p>
      <w:pPr>
        <w:keepNext/>
        <w:spacing w:before="120" w:after="40" w:line="240" w:lineRule="auto"/>
      </w:pPr>
      <w:r>
        <w:rPr>
          <w:rFonts w:ascii="Times New Roman" w:hAnsi="Times New Roman"/>
          <w:b/>
          <w:i/>
          <w:sz w:val="19"/>
        </w:rPr>
        <w:t>A. Identified Research Gap</w:t>
      </w:r>
    </w:p>
    <w:p>
      <w:pPr>
        <w:keepNext/>
        <w:spacing w:before="80" w:after="20" w:line="240" w:lineRule="auto"/>
      </w:pPr>
      <w:r>
        <w:rPr>
          <w:rFonts w:ascii="Times New Roman" w:hAnsi="Times New Roman"/>
          <w:b w:val="0"/>
          <w:i/>
          <w:sz w:val="18"/>
        </w:rPr>
        <w:t xml:space="preserve">1) Lack of Dynamic Electromechanical Cross-Validation: </w:t>
      </w:r>
    </w:p>
    <w:p>
      <w:pPr>
        <w:spacing w:after="70" w:line="240" w:lineRule="auto"/>
        <w:jc w:val="both"/>
      </w:pPr>
      <w:r>
        <w:rPr>
          <w:rFonts w:ascii="Times New Roman" w:hAnsi="Times New Roman"/>
          <w:b w:val="0"/>
          <w:i w:val="0"/>
          <w:sz w:val="19"/>
        </w:rPr>
        <w:t>Existing multi-sensor frameworks [4][6] either apply static equal weights or rely purely on statistical variance, failing to validate sensor readings against first-principles electromechanical equations (such as Kloss breakdown torque envelopes and fractional slip constraints). Consequently, sensor drift under dynamic load variations is easily misdiagnosed as catastrophic asset failure [7].</w:t>
      </w:r>
    </w:p>
    <w:p>
      <w:pPr>
        <w:keepNext/>
        <w:spacing w:before="80" w:after="20" w:line="240" w:lineRule="auto"/>
      </w:pPr>
      <w:r>
        <w:rPr>
          <w:rFonts w:ascii="Times New Roman" w:hAnsi="Times New Roman"/>
          <w:b w:val="0"/>
          <w:i/>
          <w:sz w:val="18"/>
        </w:rPr>
        <w:t xml:space="preserve">2) High Complexity of Deep Learning on Factory Edge Controllers: </w:t>
      </w:r>
    </w:p>
    <w:p>
      <w:pPr>
        <w:spacing w:after="70" w:line="240" w:lineRule="auto"/>
        <w:jc w:val="both"/>
      </w:pPr>
      <w:r>
        <w:rPr>
          <w:rFonts w:ascii="Times New Roman" w:hAnsi="Times New Roman"/>
          <w:b w:val="0"/>
          <w:i w:val="0"/>
          <w:sz w:val="19"/>
        </w:rPr>
        <w:t>Recent evidence-based deep learning and recurrent networks [5][7] introduce severe computational burdens that prevent real-time deterministic execution on legacy factory programmable logic controllers (PLCs) and low-power microcontrollers operating with tight sub-100 ms scan cycles.</w:t>
      </w:r>
    </w:p>
    <w:p>
      <w:pPr>
        <w:keepNext/>
        <w:spacing w:before="80" w:after="20" w:line="240" w:lineRule="auto"/>
      </w:pPr>
      <w:r>
        <w:rPr>
          <w:rFonts w:ascii="Times New Roman" w:hAnsi="Times New Roman"/>
          <w:b w:val="0"/>
          <w:i/>
          <w:sz w:val="18"/>
        </w:rPr>
        <w:t xml:space="preserve">3) Absence of Prescriptive SCADA Prototypes: </w:t>
      </w:r>
    </w:p>
    <w:p>
      <w:pPr>
        <w:spacing w:after="70" w:line="240" w:lineRule="auto"/>
        <w:jc w:val="both"/>
      </w:pPr>
      <w:r>
        <w:rPr>
          <w:rFonts w:ascii="Times New Roman" w:hAnsi="Times New Roman"/>
          <w:b w:val="0"/>
          <w:i w:val="0"/>
          <w:sz w:val="19"/>
        </w:rPr>
        <w:t>While prior literature provides theoretical taxonomy [1] and isolated classification benchmarks [5], there is a notable absence of lightweight, deployable digital twin software equipped with real-time SCADA dashboards that translate raw machine learning inference into prescriptive Standard Operating Procedures (SOPs) for maintenance technicians.</w:t>
      </w:r>
    </w:p>
    <w:p>
      <w:pPr>
        <w:keepNext/>
        <w:spacing w:before="120" w:after="40" w:line="240" w:lineRule="auto"/>
      </w:pPr>
      <w:r>
        <w:rPr>
          <w:rFonts w:ascii="Times New Roman" w:hAnsi="Times New Roman"/>
          <w:b/>
          <w:i/>
          <w:sz w:val="19"/>
        </w:rPr>
        <w:t>B. Research Questions</w:t>
      </w:r>
    </w:p>
    <w:p>
      <w:pPr>
        <w:spacing w:after="70" w:line="240" w:lineRule="auto"/>
        <w:jc w:val="both"/>
      </w:pPr>
      <w:r>
        <w:rPr>
          <w:rFonts w:ascii="Times New Roman" w:hAnsi="Times New Roman"/>
          <w:b w:val="0"/>
          <w:i w:val="0"/>
          <w:sz w:val="19"/>
        </w:rPr>
        <w:t>1) RQ1: How do variable mechanical load swings and supply line voltage imbalances affect individual current, vibration, and thermal sensors in induction machines?</w:t>
        <w:br/>
        <w:t>2) RQ2: Can electromechanical governing laws (Kloss torque formulation and MCSA slip sidebands) dynamically validate sensor reliability in real time?</w:t>
        <w:br/>
        <w:t>3) RQ3: Does decision-threshold calibrated ensemble fusion outperform conventional static threshold tripping under asymmetric industrial failure cost matrices?</w:t>
      </w:r>
    </w:p>
    <w:p>
      <w:pPr>
        <w:keepNext/>
        <w:spacing w:before="120" w:after="40" w:line="240" w:lineRule="auto"/>
      </w:pPr>
      <w:r>
        <w:rPr>
          <w:rFonts w:ascii="Times New Roman" w:hAnsi="Times New Roman"/>
          <w:b/>
          <w:i/>
          <w:sz w:val="19"/>
        </w:rPr>
        <w:t>C. Research Objectives</w:t>
      </w:r>
    </w:p>
    <w:p>
      <w:pPr>
        <w:spacing w:after="70" w:line="240" w:lineRule="auto"/>
        <w:jc w:val="both"/>
      </w:pPr>
      <w:r>
        <w:rPr>
          <w:rFonts w:ascii="Times New Roman" w:hAnsi="Times New Roman"/>
          <w:b w:val="0"/>
          <w:i w:val="0"/>
          <w:sz w:val="19"/>
        </w:rPr>
        <w:t>1) Analyze Sensor Limits: Formulate the operating boundaries of current, vibration, and thermal sensing under multi-machine industrial drive conditions.</w:t>
        <w:br/>
        <w:t>2) Formulate Physics-Guided Diagnostic Models: Develop analytical expressions for fractional slip, Kloss torque envelopes, MCSA sidebands, and Arrhenius insulation lifespan.</w:t>
        <w:br/>
        <w:t>3) Implement Decision-Calibrated Multi-Class Ensembles: Optimize classification decision boundaries (θ = 0.40) to prioritize operational recall for high-consequence failure modes.</w:t>
        <w:br/>
        <w:t>4) Build and Evaluate SCADA Prototype: Develop a full-stack digital twin cockpit in Python, Streamlit, and SQLite to validate the architecture under multi-fault degradation.</w:t>
      </w:r>
    </w:p>
    <w:p>
      <w:pPr>
        <w:keepNext/>
        <w:spacing w:before="180" w:after="60" w:line="240" w:lineRule="auto"/>
        <w:jc w:val="center"/>
      </w:pPr>
      <w:r>
        <w:rPr>
          <w:rFonts w:ascii="Times New Roman" w:hAnsi="Times New Roman"/>
          <w:b/>
          <w:i w:val="0"/>
          <w:sz w:val="20"/>
        </w:rPr>
        <w:t>IV. METHODOLOGY</w:t>
      </w:r>
    </w:p>
    <w:p>
      <w:pPr>
        <w:spacing w:after="70" w:line="240" w:lineRule="auto"/>
        <w:jc w:val="both"/>
      </w:pPr>
      <w:r>
        <w:rPr>
          <w:rFonts w:ascii="Times New Roman" w:hAnsi="Times New Roman"/>
          <w:b w:val="0"/>
          <w:i w:val="0"/>
          <w:sz w:val="19"/>
        </w:rPr>
        <w:t>The proposed framework couples first-principles electromechanical formulations with ensemble machine learning to monitor induction motor health. Unlike prior black-box approaches [4][6], the digital twin evaluates real-time telemetry against analytical kinematic boundaries, mitigating false alarms and isolating failure root causes [7].</w:t>
      </w:r>
    </w:p>
    <w:p>
      <w:pPr>
        <w:keepNext/>
        <w:spacing w:before="120" w:after="40" w:line="240" w:lineRule="auto"/>
      </w:pPr>
      <w:r>
        <w:rPr>
          <w:rFonts w:ascii="Times New Roman" w:hAnsi="Times New Roman"/>
          <w:b/>
          <w:i/>
          <w:sz w:val="19"/>
        </w:rPr>
        <w:t>A. Processing Pipeline</w:t>
      </w:r>
    </w:p>
    <w:p>
      <w:pPr>
        <w:spacing w:after="70" w:line="240" w:lineRule="auto"/>
        <w:jc w:val="both"/>
      </w:pPr>
      <w:r>
        <w:rPr>
          <w:rFonts w:ascii="Times New Roman" w:hAnsi="Times New Roman"/>
          <w:b w:val="0"/>
          <w:i w:val="0"/>
          <w:sz w:val="19"/>
        </w:rPr>
        <w:t>1) Telemetry Ingestion: Continuously ingests 3-phase currents (IR, IY, IB), broadband vibration velocity (v_rms), rotor speed (Nr), stator winding temperature (Ts), and differential cooling pressure [1][5].</w:t>
        <w:br/>
        <w:t>2) Physics &amp; Kinematics Computation: Computes fractional slip s, IEC current unbalance percentage, and Kloss torque envelope in real time.</w:t>
        <w:br/>
        <w:t>3) Decision-Calibrated Inference: Evaluates binary failure trip probability using an optimized threshold (θ = 0.40) and executes 7-class fault localization.</w:t>
        <w:br/>
        <w:t>4) Prescriptive Dispatch &amp; Logging: Logs inference telemetry into an SQLite database and generates standardized engineering SOPs in the SCADA digital twin.</w:t>
      </w:r>
    </w:p>
    <w:p>
      <w:pPr>
        <w:keepNext/>
        <w:spacing w:before="120" w:after="40" w:line="240" w:lineRule="auto"/>
      </w:pPr>
      <w:r>
        <w:rPr>
          <w:rFonts w:ascii="Times New Roman" w:hAnsi="Times New Roman"/>
          <w:b/>
          <w:i/>
          <w:sz w:val="19"/>
        </w:rPr>
        <w:t>B. Mathematical Formulations</w:t>
      </w:r>
    </w:p>
    <w:p>
      <w:pPr>
        <w:spacing w:after="70" w:line="240" w:lineRule="auto"/>
        <w:jc w:val="both"/>
      </w:pPr>
      <w:r>
        <w:rPr>
          <w:rFonts w:ascii="Times New Roman" w:hAnsi="Times New Roman"/>
          <w:b w:val="0"/>
          <w:i w:val="0"/>
          <w:sz w:val="19"/>
        </w:rPr>
        <w:t>1) Rotor Slip Kinematics:</w:t>
      </w:r>
    </w:p>
    <w:p>
      <w:pPr>
        <w:spacing w:before="40" w:after="60"/>
        <w:jc w:val="center"/>
      </w:pPr>
      <w:r>
        <w:rPr>
          <w:rFonts w:ascii="Cambria Math" w:hAnsi="Cambria Math"/>
          <w:b/>
          <w:i/>
          <w:sz w:val="19"/>
        </w:rPr>
        <w:t>s = (Ns - Nr) / Ns,   where Ns = (120 · fs) / P</w:t>
      </w:r>
    </w:p>
    <w:p>
      <w:pPr>
        <w:spacing w:after="70" w:line="240" w:lineRule="auto"/>
        <w:jc w:val="both"/>
      </w:pPr>
      <w:r>
        <w:rPr>
          <w:rFonts w:ascii="Times New Roman" w:hAnsi="Times New Roman"/>
          <w:b w:val="0"/>
          <w:i w:val="0"/>
          <w:sz w:val="19"/>
        </w:rPr>
        <w:t>2) Kloss Speed-Torque Model:</w:t>
      </w:r>
    </w:p>
    <w:p>
      <w:pPr>
        <w:spacing w:before="40" w:after="60"/>
        <w:jc w:val="center"/>
      </w:pPr>
      <w:r>
        <w:rPr>
          <w:rFonts w:ascii="Cambria Math" w:hAnsi="Cambria Math"/>
          <w:b/>
          <w:i/>
          <w:sz w:val="19"/>
        </w:rPr>
        <w:t>Te(s) = (2 · Tmax) / (s/smax + smax/s)</w:t>
      </w:r>
    </w:p>
    <w:p>
      <w:pPr>
        <w:spacing w:after="70" w:line="240" w:lineRule="auto"/>
        <w:jc w:val="both"/>
      </w:pPr>
      <w:r>
        <w:rPr>
          <w:rFonts w:ascii="Times New Roman" w:hAnsi="Times New Roman"/>
          <w:b w:val="0"/>
          <w:i w:val="0"/>
          <w:sz w:val="19"/>
        </w:rPr>
        <w:t>3) MCSA Broken Rotor Bar Sideband Spectrum:</w:t>
      </w:r>
    </w:p>
    <w:p>
      <w:pPr>
        <w:spacing w:before="40" w:after="60"/>
        <w:jc w:val="center"/>
      </w:pPr>
      <w:r>
        <w:rPr>
          <w:rFonts w:ascii="Cambria Math" w:hAnsi="Cambria Math"/>
          <w:b/>
          <w:i/>
          <w:sz w:val="19"/>
        </w:rPr>
        <w:t>f_brb = (1 ± 2s) · fs</w:t>
      </w:r>
    </w:p>
    <w:p>
      <w:pPr>
        <w:spacing w:after="70" w:line="240" w:lineRule="auto"/>
        <w:jc w:val="both"/>
      </w:pPr>
      <w:r>
        <w:rPr>
          <w:rFonts w:ascii="Times New Roman" w:hAnsi="Times New Roman"/>
          <w:b w:val="0"/>
          <w:i w:val="0"/>
          <w:sz w:val="19"/>
        </w:rPr>
        <w:t>4) IEC Current Unbalance Ratio:</w:t>
      </w:r>
    </w:p>
    <w:p>
      <w:pPr>
        <w:spacing w:before="40" w:after="60"/>
        <w:jc w:val="center"/>
      </w:pPr>
      <w:r>
        <w:rPr>
          <w:rFonts w:ascii="Cambria Math" w:hAnsi="Cambria Math"/>
          <w:b/>
          <w:i/>
          <w:sz w:val="19"/>
        </w:rPr>
        <w:t>I_unbal = (max(|IR - Iavg|, |IY - Iavg|, |IB - Iavg|) / Iavg) · 100%</w:t>
      </w:r>
    </w:p>
    <w:p>
      <w:pPr>
        <w:spacing w:after="70" w:line="240" w:lineRule="auto"/>
        <w:jc w:val="both"/>
      </w:pPr>
      <w:r>
        <w:rPr>
          <w:rFonts w:ascii="Times New Roman" w:hAnsi="Times New Roman"/>
          <w:b w:val="0"/>
          <w:i w:val="0"/>
          <w:sz w:val="19"/>
        </w:rPr>
        <w:t>5) Arrhenius Insulation Thermal Aging Half-Life:</w:t>
      </w:r>
    </w:p>
    <w:p>
      <w:pPr>
        <w:spacing w:before="40" w:after="60"/>
        <w:jc w:val="center"/>
      </w:pPr>
      <w:r>
        <w:rPr>
          <w:rFonts w:ascii="Cambria Math" w:hAnsi="Cambria Math"/>
          <w:b/>
          <w:i/>
          <w:sz w:val="19"/>
        </w:rPr>
        <w:t>L = L0 · 2^((T_rated - T_stator) / 10)</w:t>
      </w:r>
    </w:p>
    <w:p>
      <w:pPr>
        <w:spacing w:before="100" w:after="40"/>
        <w:jc w:val="center"/>
      </w:pPr>
      <w:r>
        <w:drawing>
          <wp:inline xmlns:a="http://schemas.openxmlformats.org/drawingml/2006/main" xmlns:pic="http://schemas.openxmlformats.org/drawingml/2006/picture">
            <wp:extent cx="3017520" cy="1949782"/>
            <wp:docPr id="1" name="Picture 1"/>
            <wp:cNvGraphicFramePr>
              <a:graphicFrameLocks noChangeAspect="1"/>
            </wp:cNvGraphicFramePr>
            <a:graphic>
              <a:graphicData uri="http://schemas.openxmlformats.org/drawingml/2006/picture">
                <pic:pic>
                  <pic:nvPicPr>
                    <pic:cNvPr id="0" name="fig_torque_speed.png"/>
                    <pic:cNvPicPr/>
                  </pic:nvPicPr>
                  <pic:blipFill>
                    <a:blip r:embed="rId9"/>
                    <a:stretch>
                      <a:fillRect/>
                    </a:stretch>
                  </pic:blipFill>
                  <pic:spPr>
                    <a:xfrm>
                      <a:off x="0" y="0"/>
                      <a:ext cx="3017520" cy="1949782"/>
                    </a:xfrm>
                    <a:prstGeom prst="rect"/>
                  </pic:spPr>
                </pic:pic>
              </a:graphicData>
            </a:graphic>
          </wp:inline>
        </w:drawing>
      </w:r>
    </w:p>
    <w:p>
      <w:pPr>
        <w:spacing w:after="100"/>
        <w:jc w:val="center"/>
      </w:pPr>
      <w:r>
        <w:rPr>
          <w:rFonts w:ascii="Times New Roman" w:hAnsi="Times New Roman"/>
          <w:b/>
          <w:i w:val="0"/>
          <w:sz w:val="16"/>
        </w:rPr>
        <w:t>Fig. 1. Physics-grounded Kloss Torque-Speed characteristic envelope illustrating nominal operation, breakdown torque limit (Tmax), and fault-induced electromechanical derating under stator turn-to-turn short circuit.</w:t>
      </w:r>
    </w:p>
    <w:p>
      <w:pPr>
        <w:keepNext/>
        <w:spacing w:before="120" w:after="40" w:line="240" w:lineRule="auto"/>
      </w:pPr>
      <w:r>
        <w:rPr>
          <w:rFonts w:ascii="Times New Roman" w:hAnsi="Times New Roman"/>
          <w:b/>
          <w:i/>
          <w:sz w:val="19"/>
        </w:rPr>
        <w:t>C. Decision-Calibrated Inference Algorithm</w:t>
      </w:r>
    </w:p>
    <w:p>
      <w:pPr>
        <w:spacing w:after="70" w:line="240" w:lineRule="auto"/>
        <w:jc w:val="both"/>
      </w:pPr>
      <w:r>
        <w:rPr>
          <w:rFonts w:ascii="Times New Roman" w:hAnsi="Times New Roman"/>
          <w:b w:val="0"/>
          <w:i w:val="0"/>
          <w:sz w:val="19"/>
        </w:rPr>
        <w:t>To account for the severe asymmetry of industrial failure costs (where unpredicted motor seizure incurs catastrophic downtime compared to a brief inspection), the decision boundary θ is tuned to maximize operational recall. The Motor Health Index (MHI) is formulated as:</w:t>
      </w:r>
    </w:p>
    <w:p>
      <w:pPr>
        <w:spacing w:before="40" w:after="60"/>
        <w:jc w:val="center"/>
      </w:pPr>
      <w:r>
        <w:rPr>
          <w:rFonts w:ascii="Cambria Math" w:hAnsi="Cambria Math"/>
          <w:b/>
          <w:i/>
          <w:sz w:val="19"/>
        </w:rPr>
        <w:t>MHI = max(0, 100 - P_fail · 100)</w:t>
      </w:r>
    </w:p>
    <w:p>
      <w:pPr>
        <w:spacing w:after="70" w:line="240" w:lineRule="auto"/>
        <w:jc w:val="both"/>
      </w:pPr>
      <w:r>
        <w:rPr>
          <w:rFonts w:ascii="Times New Roman" w:hAnsi="Times New Roman"/>
          <w:b w:val="0"/>
          <w:i w:val="0"/>
          <w:sz w:val="19"/>
        </w:rPr>
        <w:t>When P_fail ≥ 0.40 or vibration velocity exceeds ISO 10816-3 Zone D (v_rms ≥ 4.5 mm/s), the system triggers an emergency TRIP command and dispatches prescriptive work orders.</w:t>
      </w:r>
    </w:p>
    <w:p>
      <w:pPr>
        <w:keepNext/>
        <w:spacing w:before="180" w:after="60" w:line="240" w:lineRule="auto"/>
        <w:jc w:val="center"/>
      </w:pPr>
      <w:r>
        <w:rPr>
          <w:rFonts w:ascii="Times New Roman" w:hAnsi="Times New Roman"/>
          <w:b/>
          <w:i w:val="0"/>
          <w:sz w:val="20"/>
        </w:rPr>
        <w:t>V. IMPLEMENTATION</w:t>
      </w:r>
    </w:p>
    <w:p>
      <w:pPr>
        <w:keepNext/>
        <w:spacing w:before="120" w:after="40" w:line="240" w:lineRule="auto"/>
      </w:pPr>
      <w:r>
        <w:rPr>
          <w:rFonts w:ascii="Times New Roman" w:hAnsi="Times New Roman"/>
          <w:b/>
          <w:i/>
          <w:sz w:val="19"/>
        </w:rPr>
        <w:t>A. System Architecture &amp; Software Modules</w:t>
      </w:r>
    </w:p>
    <w:p>
      <w:pPr>
        <w:spacing w:after="70" w:line="240" w:lineRule="auto"/>
        <w:jc w:val="both"/>
      </w:pPr>
      <w:r>
        <w:rPr>
          <w:rFonts w:ascii="Times New Roman" w:hAnsi="Times New Roman"/>
          <w:b w:val="0"/>
          <w:i w:val="0"/>
          <w:sz w:val="19"/>
        </w:rPr>
        <w:t>1) Core Diagnostic ML Engine (train_model.py, train_component_fault_model.py): Implements calibrated Random Forest classifiers (300 estimators) for binary failure prediction and 7-class fault mode localization.</w:t>
        <w:br/>
        <w:t>2) Telemetry Simulator (generate_data.py): Physics-informed generator synthesizing multi-motor telemetry across seven industrial drive ratings (7.5 kW to 45 kW).</w:t>
        <w:br/>
        <w:t>3) Backend Storage &amp; Database (database.py): SQLite database (pump_data.db) logging historical sensor timestamps, telemetry metrics, and alarm events.</w:t>
        <w:br/>
        <w:t>4) Web SCADA Cockpit (app.py): Interactive digital twin interface built with Streamlit and Plotly, displaying 3-phase current oscilloscopes, torque curves, and prescriptive work orders.</w:t>
      </w:r>
    </w:p>
    <w:p>
      <w:pPr>
        <w:keepNext/>
        <w:spacing w:before="120" w:after="40" w:line="240" w:lineRule="auto"/>
      </w:pPr>
      <w:r>
        <w:rPr>
          <w:rFonts w:ascii="Times New Roman" w:hAnsi="Times New Roman"/>
          <w:b/>
          <w:i/>
          <w:sz w:val="19"/>
        </w:rPr>
        <w:t>B. Execution Workflow</w:t>
      </w:r>
    </w:p>
    <w:p>
      <w:pPr>
        <w:spacing w:after="70" w:line="240" w:lineRule="auto"/>
        <w:jc w:val="both"/>
      </w:pPr>
      <w:r>
        <w:rPr>
          <w:rFonts w:ascii="Times New Roman" w:hAnsi="Times New Roman"/>
          <w:b w:val="0"/>
          <w:i w:val="0"/>
          <w:sz w:val="19"/>
        </w:rPr>
        <w:t>1) Telemetry Ingestion: Captures multi-sensor streams across the fleet testbed.</w:t>
        <w:br/>
        <w:t>2) Kinematics Evaluation: Validates torque, current unbalance, and vibration crest factor.</w:t>
        <w:br/>
        <w:t>3) Fault Injection: Simulates failure states (e.g., stator inter-turn shorts, broken rotor bars, bearing spalling).</w:t>
        <w:br/>
        <w:t>4) Prescriptive Dispatch: Outputs automated engineering SOPs to plant operators.</w:t>
      </w:r>
    </w:p>
    <w:p>
      <w:pPr>
        <w:spacing w:before="100" w:after="40"/>
        <w:jc w:val="center"/>
      </w:pPr>
      <w:r>
        <w:drawing>
          <wp:inline xmlns:a="http://schemas.openxmlformats.org/drawingml/2006/main" xmlns:pic="http://schemas.openxmlformats.org/drawingml/2006/picture">
            <wp:extent cx="3017520" cy="1146658"/>
            <wp:docPr id="2" name="Picture 2"/>
            <wp:cNvGraphicFramePr>
              <a:graphicFrameLocks noChangeAspect="1"/>
            </wp:cNvGraphicFramePr>
            <a:graphic>
              <a:graphicData uri="http://schemas.openxmlformats.org/drawingml/2006/picture">
                <pic:pic>
                  <pic:nvPicPr>
                    <pic:cNvPr id="0" name="fig_mcsa_oscilloscope.png"/>
                    <pic:cNvPicPr/>
                  </pic:nvPicPr>
                  <pic:blipFill>
                    <a:blip r:embed="rId10"/>
                    <a:stretch>
                      <a:fillRect/>
                    </a:stretch>
                  </pic:blipFill>
                  <pic:spPr>
                    <a:xfrm>
                      <a:off x="0" y="0"/>
                      <a:ext cx="3017520" cy="1146658"/>
                    </a:xfrm>
                    <a:prstGeom prst="rect"/>
                  </pic:spPr>
                </pic:pic>
              </a:graphicData>
            </a:graphic>
          </wp:inline>
        </w:drawing>
      </w:r>
    </w:p>
    <w:p>
      <w:pPr>
        <w:spacing w:after="100"/>
        <w:jc w:val="center"/>
      </w:pPr>
      <w:r>
        <w:rPr>
          <w:rFonts w:ascii="Times New Roman" w:hAnsi="Times New Roman"/>
          <w:b/>
          <w:i w:val="0"/>
          <w:sz w:val="16"/>
        </w:rPr>
        <w:t>Fig. 2. Stator electrical signatures: (a) Time-domain 3-phase instantaneous currents displaying phase unbalance under stator winding inter-turn degradation; (b) Motor Current Signature Analysis (MCSA) frequency spectrum exhibiting (1 ± 2s)fs diagnostic sideband peaks characteristic of broken rotor bars.</w:t>
      </w:r>
    </w:p>
    <w:p>
      <w:pPr>
        <w:keepNext/>
        <w:spacing w:before="180" w:after="60" w:line="240" w:lineRule="auto"/>
        <w:jc w:val="center"/>
      </w:pPr>
      <w:r>
        <w:rPr>
          <w:rFonts w:ascii="Times New Roman" w:hAnsi="Times New Roman"/>
          <w:b/>
          <w:i w:val="0"/>
          <w:sz w:val="20"/>
        </w:rPr>
        <w:t>VI. RESULTS &amp; DISCUSSION</w:t>
      </w:r>
    </w:p>
    <w:p>
      <w:pPr>
        <w:keepNext/>
        <w:spacing w:before="120" w:after="40" w:line="240" w:lineRule="auto"/>
      </w:pPr>
      <w:r>
        <w:rPr>
          <w:rFonts w:ascii="Times New Roman" w:hAnsi="Times New Roman"/>
          <w:b/>
          <w:i/>
          <w:sz w:val="19"/>
        </w:rPr>
        <w:t>A. Simulated Test Scenarios and Unit Test Results</w:t>
      </w:r>
    </w:p>
    <w:p>
      <w:pPr>
        <w:jc w:val="center"/>
      </w:pPr>
      <w:r>
        <w:rPr>
          <w:rFonts w:ascii="Times New Roman" w:hAnsi="Times New Roman"/>
          <w:b/>
          <w:i w:val="0"/>
          <w:sz w:val="16"/>
        </w:rPr>
        <w:t>TABLE II. EXPERIMENTAL UNIT TEST SCENARIOS AND OUTPUT VALIDATION</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2592"/>
            <w:vAlign w:val="center"/>
            <w:shd w:val="clear" w:color="auto" w:fill="EAEEF3"/>
          </w:tcPr>
          <w:p>
            <w:r>
              <w:rPr>
                <w:rFonts w:ascii="Times New Roman" w:hAnsi="Times New Roman"/>
                <w:b/>
                <w:i w:val="0"/>
                <w:sz w:val="15"/>
              </w:rPr>
              <w:t>Test Scenario</w:t>
            </w:r>
          </w:p>
        </w:tc>
        <w:tc>
          <w:tcPr>
            <w:tcW w:type="dxa" w:w="2592"/>
            <w:vAlign w:val="center"/>
            <w:shd w:val="clear" w:color="auto" w:fill="EAEEF3"/>
          </w:tcPr>
          <w:p>
            <w:r>
              <w:rPr>
                <w:rFonts w:ascii="Times New Roman" w:hAnsi="Times New Roman"/>
                <w:b/>
                <w:i w:val="0"/>
                <w:sz w:val="15"/>
              </w:rPr>
              <w:t>Input Telemetry Parameters</w:t>
            </w:r>
          </w:p>
        </w:tc>
        <w:tc>
          <w:tcPr>
            <w:tcW w:type="dxa" w:w="2592"/>
            <w:vAlign w:val="center"/>
            <w:shd w:val="clear" w:color="auto" w:fill="EAEEF3"/>
          </w:tcPr>
          <w:p>
            <w:r>
              <w:rPr>
                <w:rFonts w:ascii="Times New Roman" w:hAnsi="Times New Roman"/>
                <w:b/>
                <w:i w:val="0"/>
                <w:sz w:val="15"/>
              </w:rPr>
              <w:t>Output Predictions</w:t>
            </w:r>
          </w:p>
        </w:tc>
        <w:tc>
          <w:tcPr>
            <w:tcW w:type="dxa" w:w="2592"/>
            <w:vAlign w:val="center"/>
            <w:shd w:val="clear" w:color="auto" w:fill="EAEEF3"/>
          </w:tcPr>
          <w:p>
            <w:r>
              <w:rPr>
                <w:rFonts w:ascii="Times New Roman" w:hAnsi="Times New Roman"/>
                <w:b/>
                <w:i w:val="0"/>
                <w:sz w:val="15"/>
              </w:rPr>
              <w:t>Diagnostic Interpretation</w:t>
            </w:r>
          </w:p>
        </w:tc>
      </w:tr>
      <w:tr>
        <w:trPr>
          <w:cantSplit/>
        </w:trPr>
        <w:tc>
          <w:tcPr>
            <w:tcW w:type="dxa" w:w="2592"/>
            <w:vAlign w:val="center"/>
          </w:tcPr>
          <w:p>
            <w:r>
              <w:rPr>
                <w:rFonts w:ascii="Times New Roman" w:hAnsi="Times New Roman"/>
                <w:b w:val="0"/>
                <w:i w:val="0"/>
                <w:sz w:val="14"/>
              </w:rPr>
              <w:t>Healthy Baseline Unit Test</w:t>
            </w:r>
          </w:p>
        </w:tc>
        <w:tc>
          <w:tcPr>
            <w:tcW w:type="dxa" w:w="2592"/>
            <w:vAlign w:val="center"/>
          </w:tcPr>
          <w:p>
            <w:r>
              <w:rPr>
                <w:rFonts w:ascii="Times New Roman" w:hAnsi="Times New Roman"/>
                <w:b w:val="0"/>
                <w:i w:val="0"/>
                <w:sz w:val="14"/>
              </w:rPr>
              <w:t>Ts = 58°C, v_rms = 1.4 mm/s, I = 24.0 A, Nr = 1465 RPM</w:t>
            </w:r>
          </w:p>
        </w:tc>
        <w:tc>
          <w:tcPr>
            <w:tcW w:type="dxa" w:w="2592"/>
            <w:vAlign w:val="center"/>
          </w:tcPr>
          <w:p>
            <w:r>
              <w:rPr>
                <w:rFonts w:ascii="Times New Roman" w:hAnsi="Times New Roman"/>
                <w:b w:val="0"/>
                <w:i w:val="0"/>
                <w:sz w:val="14"/>
              </w:rPr>
              <w:t>P_fail = 4.3%, MHI = 95.7, Fault = Normal (100%)</w:t>
            </w:r>
          </w:p>
        </w:tc>
        <w:tc>
          <w:tcPr>
            <w:tcW w:type="dxa" w:w="2592"/>
            <w:vAlign w:val="center"/>
          </w:tcPr>
          <w:p>
            <w:r>
              <w:rPr>
                <w:rFonts w:ascii="Times New Roman" w:hAnsi="Times New Roman"/>
                <w:b w:val="0"/>
                <w:i w:val="0"/>
                <w:sz w:val="14"/>
              </w:rPr>
              <w:t>Operates within IEEE 841 / ISO Zone A; healthy continuous run.</w:t>
            </w:r>
          </w:p>
        </w:tc>
      </w:tr>
      <w:tr>
        <w:trPr>
          <w:cantSplit/>
        </w:trPr>
        <w:tc>
          <w:tcPr>
            <w:tcW w:type="dxa" w:w="2592"/>
            <w:vAlign w:val="center"/>
          </w:tcPr>
          <w:p>
            <w:r>
              <w:rPr>
                <w:rFonts w:ascii="Times New Roman" w:hAnsi="Times New Roman"/>
                <w:b w:val="0"/>
                <w:i w:val="0"/>
                <w:sz w:val="14"/>
              </w:rPr>
              <w:t>Stator Inter-Turn Short Circuit</w:t>
            </w:r>
          </w:p>
        </w:tc>
        <w:tc>
          <w:tcPr>
            <w:tcW w:type="dxa" w:w="2592"/>
            <w:vAlign w:val="center"/>
          </w:tcPr>
          <w:p>
            <w:r>
              <w:rPr>
                <w:rFonts w:ascii="Times New Roman" w:hAnsi="Times New Roman"/>
                <w:b w:val="0"/>
                <w:i w:val="0"/>
                <w:sz w:val="14"/>
              </w:rPr>
              <w:t>Ts = 94°C, v_rms = 2.6 mm/s, I_unbal = 18.5%, Nr = 1435 RPM</w:t>
            </w:r>
          </w:p>
        </w:tc>
        <w:tc>
          <w:tcPr>
            <w:tcW w:type="dxa" w:w="2592"/>
            <w:vAlign w:val="center"/>
          </w:tcPr>
          <w:p>
            <w:r>
              <w:rPr>
                <w:rFonts w:ascii="Times New Roman" w:hAnsi="Times New Roman"/>
                <w:b w:val="0"/>
                <w:i w:val="0"/>
                <w:sz w:val="14"/>
              </w:rPr>
              <w:t>P_fail = 72.3%, MHI = 27.7, Fault = Stator Short (100%)</w:t>
            </w:r>
          </w:p>
        </w:tc>
        <w:tc>
          <w:tcPr>
            <w:tcW w:type="dxa" w:w="2592"/>
            <w:vAlign w:val="center"/>
          </w:tcPr>
          <w:p>
            <w:r>
              <w:rPr>
                <w:rFonts w:ascii="Times New Roman" w:hAnsi="Times New Roman"/>
                <w:b w:val="0"/>
                <w:i w:val="0"/>
                <w:sz w:val="14"/>
              </w:rPr>
              <w:t>High current unbalance and thermal rise trigger P1 LOTO dispatch.</w:t>
            </w:r>
          </w:p>
        </w:tc>
      </w:tr>
      <w:tr>
        <w:trPr>
          <w:cantSplit/>
        </w:trPr>
        <w:tc>
          <w:tcPr>
            <w:tcW w:type="dxa" w:w="2592"/>
            <w:vAlign w:val="center"/>
          </w:tcPr>
          <w:p>
            <w:r>
              <w:rPr>
                <w:rFonts w:ascii="Times New Roman" w:hAnsi="Times New Roman"/>
                <w:b w:val="0"/>
                <w:i w:val="0"/>
                <w:sz w:val="14"/>
              </w:rPr>
              <w:t>Broken Rotor Bars (BRB) Test</w:t>
            </w:r>
          </w:p>
        </w:tc>
        <w:tc>
          <w:tcPr>
            <w:tcW w:type="dxa" w:w="2592"/>
            <w:vAlign w:val="center"/>
          </w:tcPr>
          <w:p>
            <w:r>
              <w:rPr>
                <w:rFonts w:ascii="Times New Roman" w:hAnsi="Times New Roman"/>
                <w:b w:val="0"/>
                <w:i w:val="0"/>
                <w:sz w:val="14"/>
              </w:rPr>
              <w:t>Ts = 76°C, v_rms = 3.8 mm/s, s = 7.33%, Nr = 1390 RPM</w:t>
            </w:r>
          </w:p>
        </w:tc>
        <w:tc>
          <w:tcPr>
            <w:tcW w:type="dxa" w:w="2592"/>
            <w:vAlign w:val="center"/>
          </w:tcPr>
          <w:p>
            <w:r>
              <w:rPr>
                <w:rFonts w:ascii="Times New Roman" w:hAnsi="Times New Roman"/>
                <w:b w:val="0"/>
                <w:i w:val="0"/>
                <w:sz w:val="14"/>
              </w:rPr>
              <w:t>P_fail = 55.7%, MHI = 44.3, Fault = Broken Rotor (97.6%)</w:t>
            </w:r>
          </w:p>
        </w:tc>
        <w:tc>
          <w:tcPr>
            <w:tcW w:type="dxa" w:w="2592"/>
            <w:vAlign w:val="center"/>
          </w:tcPr>
          <w:p>
            <w:r>
              <w:rPr>
                <w:rFonts w:ascii="Times New Roman" w:hAnsi="Times New Roman"/>
                <w:b w:val="0"/>
                <w:i w:val="0"/>
                <w:sz w:val="14"/>
              </w:rPr>
              <w:t>Elevated slip and (1±2s)fs MCSA sidebands isolate rotor cage defect.</w:t>
            </w:r>
          </w:p>
        </w:tc>
      </w:tr>
      <w:tr>
        <w:trPr>
          <w:cantSplit/>
        </w:trPr>
        <w:tc>
          <w:tcPr>
            <w:tcW w:type="dxa" w:w="2592"/>
            <w:vAlign w:val="center"/>
          </w:tcPr>
          <w:p>
            <w:r>
              <w:rPr>
                <w:rFonts w:ascii="Times New Roman" w:hAnsi="Times New Roman"/>
                <w:b w:val="0"/>
                <w:i w:val="0"/>
                <w:sz w:val="14"/>
              </w:rPr>
              <w:t>Bearing Raceway Degradation</w:t>
            </w:r>
          </w:p>
        </w:tc>
        <w:tc>
          <w:tcPr>
            <w:tcW w:type="dxa" w:w="2592"/>
            <w:vAlign w:val="center"/>
          </w:tcPr>
          <w:p>
            <w:r>
              <w:rPr>
                <w:rFonts w:ascii="Times New Roman" w:hAnsi="Times New Roman"/>
                <w:b w:val="0"/>
                <w:i w:val="0"/>
                <w:sz w:val="14"/>
              </w:rPr>
              <w:t>Ts = 74°C, v_rms = 6.4 mm/s, Cf = 5.8, Nr = 1450 RPM</w:t>
            </w:r>
          </w:p>
        </w:tc>
        <w:tc>
          <w:tcPr>
            <w:tcW w:type="dxa" w:w="2592"/>
            <w:vAlign w:val="center"/>
          </w:tcPr>
          <w:p>
            <w:r>
              <w:rPr>
                <w:rFonts w:ascii="Times New Roman" w:hAnsi="Times New Roman"/>
                <w:b w:val="0"/>
                <w:i w:val="0"/>
                <w:sz w:val="14"/>
              </w:rPr>
              <w:t>P_fail = 91.0%, MHI = 9.0, Fault = Bearing Deg. (96.4%)</w:t>
            </w:r>
          </w:p>
        </w:tc>
        <w:tc>
          <w:tcPr>
            <w:tcW w:type="dxa" w:w="2592"/>
            <w:vAlign w:val="center"/>
          </w:tcPr>
          <w:p>
            <w:r>
              <w:rPr>
                <w:rFonts w:ascii="Times New Roman" w:hAnsi="Times New Roman"/>
                <w:b w:val="0"/>
                <w:i w:val="0"/>
                <w:sz w:val="14"/>
              </w:rPr>
              <w:t>Vibration velocity exceeds ISO Zone D cutoff (4.5 mm/s); mandatory trip.</w:t>
            </w:r>
          </w:p>
        </w:tc>
      </w:tr>
    </w:tbl>
    <w:p>
      <w:pPr>
        <w:spacing w:after="80"/>
      </w:pPr>
    </w:p>
    <w:p>
      <w:pPr>
        <w:spacing w:before="100" w:after="40"/>
        <w:jc w:val="center"/>
      </w:pPr>
      <w:r>
        <w:drawing>
          <wp:inline xmlns:a="http://schemas.openxmlformats.org/drawingml/2006/main" xmlns:pic="http://schemas.openxmlformats.org/drawingml/2006/picture">
            <wp:extent cx="3017520" cy="1207008"/>
            <wp:docPr id="3" name="Picture 3"/>
            <wp:cNvGraphicFramePr>
              <a:graphicFrameLocks noChangeAspect="1"/>
            </wp:cNvGraphicFramePr>
            <a:graphic>
              <a:graphicData uri="http://schemas.openxmlformats.org/drawingml/2006/picture">
                <pic:pic>
                  <pic:nvPicPr>
                    <pic:cNvPr id="0" name="fig_threshold_and_features.png"/>
                    <pic:cNvPicPr/>
                  </pic:nvPicPr>
                  <pic:blipFill>
                    <a:blip r:embed="rId11"/>
                    <a:stretch>
                      <a:fillRect/>
                    </a:stretch>
                  </pic:blipFill>
                  <pic:spPr>
                    <a:xfrm>
                      <a:off x="0" y="0"/>
                      <a:ext cx="3017520" cy="1207008"/>
                    </a:xfrm>
                    <a:prstGeom prst="rect"/>
                  </pic:spPr>
                </pic:pic>
              </a:graphicData>
            </a:graphic>
          </wp:inline>
        </w:drawing>
      </w:r>
    </w:p>
    <w:p>
      <w:pPr>
        <w:spacing w:after="100"/>
        <w:jc w:val="center"/>
      </w:pPr>
      <w:r>
        <w:rPr>
          <w:rFonts w:ascii="Times New Roman" w:hAnsi="Times New Roman"/>
          <w:b/>
          <w:i w:val="0"/>
          <w:sz w:val="16"/>
        </w:rPr>
        <w:t>Fig. 3. Model tuning and explainability: (a) Precision, Recall, and F1-score as a function of decision threshold θ; (b) Gini feature importance ranking demonstrating strong alignment with physical degradation drivers.</w:t>
      </w:r>
    </w:p>
    <w:p>
      <w:pPr>
        <w:keepNext/>
        <w:spacing w:before="120" w:after="40" w:line="240" w:lineRule="auto"/>
      </w:pPr>
      <w:r>
        <w:rPr>
          <w:rFonts w:ascii="Times New Roman" w:hAnsi="Times New Roman"/>
          <w:b/>
          <w:i/>
          <w:sz w:val="19"/>
        </w:rPr>
        <w:t>B. Conceptual Comparison</w:t>
      </w:r>
    </w:p>
    <w:p>
      <w:pPr>
        <w:jc w:val="center"/>
      </w:pPr>
      <w:r>
        <w:rPr>
          <w:rFonts w:ascii="Times New Roman" w:hAnsi="Times New Roman"/>
          <w:b/>
          <w:i w:val="0"/>
          <w:sz w:val="16"/>
        </w:rPr>
        <w:t>TABLE III. ARCHITECTURAL COMPARISON OF INDUSTRIAL MONITORING APPROACHES</w:t>
      </w:r>
    </w:p>
    <w:tbl>
      <w:tblPr>
        <w:tblW w:type="auto" w:w="0"/>
        <w:jc w:val="center"/>
        <w:tblLook w:firstColumn="1" w:firstRow="1" w:lastColumn="0" w:lastRow="0" w:noHBand="0" w:noVBand="1" w:val="04A0"/>
      </w:tblPr>
      <w:tblGrid>
        <w:gridCol w:w="2592"/>
        <w:gridCol w:w="2592"/>
        <w:gridCol w:w="2592"/>
        <w:gridCol w:w="2592"/>
      </w:tblGrid>
      <w:tr>
        <w:trPr>
          <w:cantSplit/>
        </w:trPr>
        <w:tc>
          <w:tcPr>
            <w:tcW w:type="dxa" w:w="2592"/>
            <w:vAlign w:val="center"/>
            <w:shd w:val="clear" w:color="auto" w:fill="EAEEF3"/>
          </w:tcPr>
          <w:p>
            <w:r>
              <w:rPr>
                <w:rFonts w:ascii="Times New Roman" w:hAnsi="Times New Roman"/>
                <w:b/>
                <w:i w:val="0"/>
                <w:sz w:val="15"/>
              </w:rPr>
              <w:t>Aspect</w:t>
            </w:r>
          </w:p>
        </w:tc>
        <w:tc>
          <w:tcPr>
            <w:tcW w:type="dxa" w:w="2592"/>
            <w:vAlign w:val="center"/>
            <w:shd w:val="clear" w:color="auto" w:fill="EAEEF3"/>
          </w:tcPr>
          <w:p>
            <w:r>
              <w:rPr>
                <w:rFonts w:ascii="Times New Roman" w:hAnsi="Times New Roman"/>
                <w:b/>
                <w:i w:val="0"/>
                <w:sz w:val="15"/>
              </w:rPr>
              <w:t>Single-Sensor Systems [1-3]</w:t>
            </w:r>
          </w:p>
        </w:tc>
        <w:tc>
          <w:tcPr>
            <w:tcW w:type="dxa" w:w="2592"/>
            <w:vAlign w:val="center"/>
            <w:shd w:val="clear" w:color="auto" w:fill="EAEEF3"/>
          </w:tcPr>
          <w:p>
            <w:r>
              <w:rPr>
                <w:rFonts w:ascii="Times New Roman" w:hAnsi="Times New Roman"/>
                <w:b/>
                <w:i w:val="0"/>
                <w:sz w:val="15"/>
              </w:rPr>
              <w:t>Static Multi-Sensor Fusion [4,6]</w:t>
            </w:r>
          </w:p>
        </w:tc>
        <w:tc>
          <w:tcPr>
            <w:tcW w:type="dxa" w:w="2592"/>
            <w:vAlign w:val="center"/>
            <w:shd w:val="clear" w:color="auto" w:fill="EAEEF3"/>
          </w:tcPr>
          <w:p>
            <w:r>
              <w:rPr>
                <w:rFonts w:ascii="Times New Roman" w:hAnsi="Times New Roman"/>
                <w:b/>
                <w:i w:val="0"/>
                <w:sz w:val="15"/>
              </w:rPr>
              <w:t>Proposed Physics-Guided Twin</w:t>
            </w:r>
          </w:p>
        </w:tc>
      </w:tr>
      <w:tr>
        <w:trPr>
          <w:cantSplit/>
        </w:trPr>
        <w:tc>
          <w:tcPr>
            <w:tcW w:type="dxa" w:w="2592"/>
            <w:vAlign w:val="center"/>
          </w:tcPr>
          <w:p>
            <w:r>
              <w:rPr>
                <w:rFonts w:ascii="Times New Roman" w:hAnsi="Times New Roman"/>
                <w:b w:val="0"/>
                <w:i w:val="0"/>
                <w:sz w:val="14"/>
              </w:rPr>
              <w:t>Vulnerability to Dynamic Load</w:t>
            </w:r>
          </w:p>
        </w:tc>
        <w:tc>
          <w:tcPr>
            <w:tcW w:type="dxa" w:w="2592"/>
            <w:vAlign w:val="center"/>
          </w:tcPr>
          <w:p>
            <w:r>
              <w:rPr>
                <w:rFonts w:ascii="Times New Roman" w:hAnsi="Times New Roman"/>
                <w:b w:val="0"/>
                <w:i w:val="0"/>
                <w:sz w:val="14"/>
              </w:rPr>
              <w:t>Total failure under transient load swings [1-3].</w:t>
            </w:r>
          </w:p>
        </w:tc>
        <w:tc>
          <w:tcPr>
            <w:tcW w:type="dxa" w:w="2592"/>
            <w:vAlign w:val="center"/>
          </w:tcPr>
          <w:p>
            <w:r>
              <w:rPr>
                <w:rFonts w:ascii="Times New Roman" w:hAnsi="Times New Roman"/>
                <w:b w:val="0"/>
                <w:i w:val="0"/>
                <w:sz w:val="14"/>
              </w:rPr>
              <w:t>Static thresholds trigger false alarms [6,7].</w:t>
            </w:r>
          </w:p>
        </w:tc>
        <w:tc>
          <w:tcPr>
            <w:tcW w:type="dxa" w:w="2592"/>
            <w:vAlign w:val="center"/>
          </w:tcPr>
          <w:p>
            <w:r>
              <w:rPr>
                <w:rFonts w:ascii="Times New Roman" w:hAnsi="Times New Roman"/>
                <w:b/>
                <w:i w:val="0"/>
                <w:sz w:val="14"/>
              </w:rPr>
              <w:t>Kloss torque model adapts dynamically to slip.</w:t>
            </w:r>
          </w:p>
        </w:tc>
      </w:tr>
      <w:tr>
        <w:trPr>
          <w:cantSplit/>
        </w:trPr>
        <w:tc>
          <w:tcPr>
            <w:tcW w:type="dxa" w:w="2592"/>
            <w:vAlign w:val="center"/>
          </w:tcPr>
          <w:p>
            <w:r>
              <w:rPr>
                <w:rFonts w:ascii="Times New Roman" w:hAnsi="Times New Roman"/>
                <w:b w:val="0"/>
                <w:i w:val="0"/>
                <w:sz w:val="14"/>
              </w:rPr>
              <w:t>Diagnostic Granularity</w:t>
            </w:r>
          </w:p>
        </w:tc>
        <w:tc>
          <w:tcPr>
            <w:tcW w:type="dxa" w:w="2592"/>
            <w:vAlign w:val="center"/>
          </w:tcPr>
          <w:p>
            <w:r>
              <w:rPr>
                <w:rFonts w:ascii="Times New Roman" w:hAnsi="Times New Roman"/>
                <w:b w:val="0"/>
                <w:i w:val="0"/>
                <w:sz w:val="14"/>
              </w:rPr>
              <w:t>Binary trip alarm only; no root-cause isolation.</w:t>
            </w:r>
          </w:p>
        </w:tc>
        <w:tc>
          <w:tcPr>
            <w:tcW w:type="dxa" w:w="2592"/>
            <w:vAlign w:val="center"/>
          </w:tcPr>
          <w:p>
            <w:r>
              <w:rPr>
                <w:rFonts w:ascii="Times New Roman" w:hAnsi="Times New Roman"/>
                <w:b w:val="0"/>
                <w:i w:val="0"/>
                <w:sz w:val="14"/>
              </w:rPr>
              <w:t>Broad subsystem flag without failure mode.</w:t>
            </w:r>
          </w:p>
        </w:tc>
        <w:tc>
          <w:tcPr>
            <w:tcW w:type="dxa" w:w="2592"/>
            <w:vAlign w:val="center"/>
          </w:tcPr>
          <w:p>
            <w:r>
              <w:rPr>
                <w:rFonts w:ascii="Times New Roman" w:hAnsi="Times New Roman"/>
                <w:b/>
                <w:i w:val="0"/>
                <w:sz w:val="14"/>
              </w:rPr>
              <w:t>7-Class multi-fault localization (91.43% acc).</w:t>
            </w:r>
          </w:p>
        </w:tc>
      </w:tr>
      <w:tr>
        <w:trPr>
          <w:cantSplit/>
        </w:trPr>
        <w:tc>
          <w:tcPr>
            <w:tcW w:type="dxa" w:w="2592"/>
            <w:vAlign w:val="center"/>
          </w:tcPr>
          <w:p>
            <w:r>
              <w:rPr>
                <w:rFonts w:ascii="Times New Roman" w:hAnsi="Times New Roman"/>
                <w:b w:val="0"/>
                <w:i w:val="0"/>
                <w:sz w:val="14"/>
              </w:rPr>
              <w:t>Interpretability &amp; Compliance</w:t>
            </w:r>
          </w:p>
        </w:tc>
        <w:tc>
          <w:tcPr>
            <w:tcW w:type="dxa" w:w="2592"/>
            <w:vAlign w:val="center"/>
          </w:tcPr>
          <w:p>
            <w:r>
              <w:rPr>
                <w:rFonts w:ascii="Times New Roman" w:hAnsi="Times New Roman"/>
                <w:b w:val="0"/>
                <w:i w:val="0"/>
                <w:sz w:val="14"/>
              </w:rPr>
              <w:t>Raw uncalibrated sensor values.</w:t>
            </w:r>
          </w:p>
        </w:tc>
        <w:tc>
          <w:tcPr>
            <w:tcW w:type="dxa" w:w="2592"/>
            <w:vAlign w:val="center"/>
          </w:tcPr>
          <w:p>
            <w:r>
              <w:rPr>
                <w:rFonts w:ascii="Times New Roman" w:hAnsi="Times New Roman"/>
                <w:b w:val="0"/>
                <w:i w:val="0"/>
                <w:sz w:val="14"/>
              </w:rPr>
              <w:t>Black-box confidence score.</w:t>
            </w:r>
          </w:p>
        </w:tc>
        <w:tc>
          <w:tcPr>
            <w:tcW w:type="dxa" w:w="2592"/>
            <w:vAlign w:val="center"/>
          </w:tcPr>
          <w:p>
            <w:r>
              <w:rPr>
                <w:rFonts w:ascii="Times New Roman" w:hAnsi="Times New Roman"/>
                <w:b/>
                <w:i w:val="0"/>
                <w:sz w:val="14"/>
              </w:rPr>
              <w:t>Transparent Gini attribution + ISO 10816-3 zones.</w:t>
            </w:r>
          </w:p>
        </w:tc>
      </w:tr>
      <w:tr>
        <w:trPr>
          <w:cantSplit/>
        </w:trPr>
        <w:tc>
          <w:tcPr>
            <w:tcW w:type="dxa" w:w="2592"/>
            <w:vAlign w:val="center"/>
          </w:tcPr>
          <w:p>
            <w:r>
              <w:rPr>
                <w:rFonts w:ascii="Times New Roman" w:hAnsi="Times New Roman"/>
                <w:b w:val="0"/>
                <w:i w:val="0"/>
                <w:sz w:val="14"/>
              </w:rPr>
              <w:t>Computational Latency</w:t>
            </w:r>
          </w:p>
        </w:tc>
        <w:tc>
          <w:tcPr>
            <w:tcW w:type="dxa" w:w="2592"/>
            <w:vAlign w:val="center"/>
          </w:tcPr>
          <w:p>
            <w:r>
              <w:rPr>
                <w:rFonts w:ascii="Times New Roman" w:hAnsi="Times New Roman"/>
                <w:b w:val="0"/>
                <w:i w:val="0"/>
                <w:sz w:val="14"/>
              </w:rPr>
              <w:t>Very Low (&lt; 0.1 ms).</w:t>
            </w:r>
          </w:p>
        </w:tc>
        <w:tc>
          <w:tcPr>
            <w:tcW w:type="dxa" w:w="2592"/>
            <w:vAlign w:val="center"/>
          </w:tcPr>
          <w:p>
            <w:r>
              <w:rPr>
                <w:rFonts w:ascii="Times New Roman" w:hAnsi="Times New Roman"/>
                <w:b w:val="0"/>
                <w:i w:val="0"/>
                <w:sz w:val="14"/>
              </w:rPr>
              <w:t>High if using deep backbones (15-50 ms).</w:t>
            </w:r>
          </w:p>
        </w:tc>
        <w:tc>
          <w:tcPr>
            <w:tcW w:type="dxa" w:w="2592"/>
            <w:vAlign w:val="center"/>
          </w:tcPr>
          <w:p>
            <w:r>
              <w:rPr>
                <w:rFonts w:ascii="Times New Roman" w:hAnsi="Times New Roman"/>
                <w:b/>
                <w:i w:val="0"/>
                <w:sz w:val="14"/>
              </w:rPr>
              <w:t>Sub-millisecond (0.8 ms) for real-time PLC scan.</w:t>
            </w:r>
          </w:p>
        </w:tc>
      </w:tr>
    </w:tbl>
    <w:p>
      <w:pPr>
        <w:spacing w:after="80"/>
      </w:pPr>
    </w:p>
    <w:p>
      <w:pPr>
        <w:spacing w:before="100" w:after="40"/>
        <w:jc w:val="center"/>
      </w:pPr>
      <w:r>
        <w:drawing>
          <wp:inline xmlns:a="http://schemas.openxmlformats.org/drawingml/2006/main" xmlns:pic="http://schemas.openxmlformats.org/drawingml/2006/picture">
            <wp:extent cx="3017520" cy="2514600"/>
            <wp:docPr id="4" name="Picture 4"/>
            <wp:cNvGraphicFramePr>
              <a:graphicFrameLocks noChangeAspect="1"/>
            </wp:cNvGraphicFramePr>
            <a:graphic>
              <a:graphicData uri="http://schemas.openxmlformats.org/drawingml/2006/picture">
                <pic:pic>
                  <pic:nvPicPr>
                    <pic:cNvPr id="0" name="fig_confusion_matrix.png"/>
                    <pic:cNvPicPr/>
                  </pic:nvPicPr>
                  <pic:blipFill>
                    <a:blip r:embed="rId12"/>
                    <a:stretch>
                      <a:fillRect/>
                    </a:stretch>
                  </pic:blipFill>
                  <pic:spPr>
                    <a:xfrm>
                      <a:off x="0" y="0"/>
                      <a:ext cx="3017520" cy="2514600"/>
                    </a:xfrm>
                    <a:prstGeom prst="rect"/>
                  </pic:spPr>
                </pic:pic>
              </a:graphicData>
            </a:graphic>
          </wp:inline>
        </w:drawing>
      </w:r>
    </w:p>
    <w:p>
      <w:pPr>
        <w:spacing w:after="100"/>
        <w:jc w:val="center"/>
      </w:pPr>
      <w:r>
        <w:rPr>
          <w:rFonts w:ascii="Times New Roman" w:hAnsi="Times New Roman"/>
          <w:b/>
          <w:i w:val="0"/>
          <w:sz w:val="16"/>
        </w:rPr>
        <w:t>Fig. 4. Confusion matrix of the 7-class fault diagnostic ensemble classifier evaluated across 980 balanced test instances (140 samples per class).</w:t>
      </w:r>
    </w:p>
    <w:p>
      <w:pPr>
        <w:spacing w:after="70" w:line="240" w:lineRule="auto"/>
        <w:jc w:val="both"/>
      </w:pPr>
      <w:r>
        <w:rPr>
          <w:rFonts w:ascii="Times New Roman" w:hAnsi="Times New Roman"/>
          <w:b w:val="0"/>
          <w:i w:val="0"/>
          <w:sz w:val="19"/>
        </w:rPr>
        <w:t>A closer inspection of the confusion matrix (Fig. 4) confirms that healthy baseline operation and thermal overload states were classified with zero false positives or false negatives (1.00 F1-score). Slight misclassifications occurred between bearing degradation and dynamic rotor eccentricity (17 and 22 instances respectively). These findings corroborate well-established electromechanical theory: severe radial bearing play inherently induces non-uniform stator-rotor air-gap eccentricity, causing overlapping high-frequency vibration signatures.</w:t>
      </w:r>
    </w:p>
    <w:p>
      <w:pPr>
        <w:spacing w:before="100" w:after="40"/>
        <w:jc w:val="center"/>
      </w:pPr>
      <w:r>
        <w:drawing>
          <wp:inline xmlns:a="http://schemas.openxmlformats.org/drawingml/2006/main" xmlns:pic="http://schemas.openxmlformats.org/drawingml/2006/picture">
            <wp:extent cx="3017520" cy="1508760"/>
            <wp:docPr id="5" name="Picture 5"/>
            <wp:cNvGraphicFramePr>
              <a:graphicFrameLocks noChangeAspect="1"/>
            </wp:cNvGraphicFramePr>
            <a:graphic>
              <a:graphicData uri="http://schemas.openxmlformats.org/drawingml/2006/picture">
                <pic:pic>
                  <pic:nvPicPr>
                    <pic:cNvPr id="0" name="fig_prototype_scada.png"/>
                    <pic:cNvPicPr/>
                  </pic:nvPicPr>
                  <pic:blipFill>
                    <a:blip r:embed="rId13"/>
                    <a:stretch>
                      <a:fillRect/>
                    </a:stretch>
                  </pic:blipFill>
                  <pic:spPr>
                    <a:xfrm>
                      <a:off x="0" y="0"/>
                      <a:ext cx="3017520" cy="1508760"/>
                    </a:xfrm>
                    <a:prstGeom prst="rect"/>
                  </pic:spPr>
                </pic:pic>
              </a:graphicData>
            </a:graphic>
          </wp:inline>
        </w:drawing>
      </w:r>
    </w:p>
    <w:p>
      <w:pPr>
        <w:spacing w:after="100"/>
        <w:jc w:val="center"/>
      </w:pPr>
      <w:r>
        <w:rPr>
          <w:rFonts w:ascii="Times New Roman" w:hAnsi="Times New Roman"/>
          <w:b/>
          <w:i w:val="0"/>
          <w:sz w:val="16"/>
        </w:rPr>
        <w:t>Fig. 5. Interactive SCADA Digital Twin Supervisory Dashboard displaying real-time telemetry KPI cards, 2D electromechanical subsystem status, and automated prescriptive work order dispatch.</w:t>
      </w:r>
    </w:p>
    <w:p>
      <w:pPr>
        <w:keepNext/>
        <w:spacing w:before="180" w:after="60" w:line="240" w:lineRule="auto"/>
        <w:jc w:val="center"/>
      </w:pPr>
      <w:r>
        <w:rPr>
          <w:rFonts w:ascii="Times New Roman" w:hAnsi="Times New Roman"/>
          <w:b/>
          <w:i w:val="0"/>
          <w:sz w:val="20"/>
        </w:rPr>
        <w:t>VII. CONCLUSION</w:t>
      </w:r>
    </w:p>
    <w:p>
      <w:pPr>
        <w:spacing w:after="70" w:line="240" w:lineRule="auto"/>
        <w:jc w:val="both"/>
      </w:pPr>
      <w:r>
        <w:rPr>
          <w:rFonts w:ascii="Times New Roman" w:hAnsi="Times New Roman"/>
          <w:b w:val="0"/>
          <w:i w:val="0"/>
          <w:sz w:val="19"/>
        </w:rPr>
        <w:t>To address the limitations of conventional condition monitoring—where static threshold alarms cause alarm fatigue and black-box deep learning lacks plant-floor interpretability—this paper presented a physics-informed digital twin framework for three-phase induction machines. By coupling electromechanical governing equations (slip kinematics, Kloss breakdown torque envelopes, MCSA sidebands, and ISO 10816-3 vibration severity limits) with decision-calibrated ensembles, the system achieves 88.0% failure prediction accuracy with an 81.25% recall at an optimized threshold of θ = 0.40, alongside 91.43% multi-class fault diagnostic localization across seven operational modes. The interactive SCADA prototype directly translates real-time predictive probabilities into standardized prescriptive maintenance SOPs within 0.8 ms, providing plant technicians with transparent, actionable maintenance guidance.</w:t>
      </w:r>
    </w:p>
    <w:p>
      <w:pPr>
        <w:keepNext/>
        <w:spacing w:before="180" w:after="60" w:line="240" w:lineRule="auto"/>
        <w:jc w:val="center"/>
      </w:pPr>
      <w:r>
        <w:rPr>
          <w:rFonts w:ascii="Times New Roman" w:hAnsi="Times New Roman"/>
          <w:b/>
          <w:i w:val="0"/>
          <w:sz w:val="20"/>
        </w:rPr>
        <w:t>VIII. FUTURE ENHANCEMENT</w:t>
      </w:r>
    </w:p>
    <w:p>
      <w:pPr>
        <w:spacing w:after="70" w:line="240" w:lineRule="auto"/>
        <w:jc w:val="both"/>
      </w:pPr>
      <w:r>
        <w:rPr>
          <w:rFonts w:ascii="Times New Roman" w:hAnsi="Times New Roman"/>
          <w:b w:val="0"/>
          <w:i w:val="0"/>
          <w:sz w:val="19"/>
        </w:rPr>
        <w:t>1) Validation Against Real-World Multi-Modal Datasets: Extend validation using public benchmarks and field motor testbeds across variable-speed industrial cycles.</w:t>
        <w:br/>
        <w:t>2) Data-Driven Dynamic Bayesian Weighting: Incorporate adaptive Bayesian weighting to adjust trust metrics automatically under electrical grid voltage dips.</w:t>
        <w:br/>
        <w:t>3) Hardware Edge Deployment on Industrial Microcontrollers: Port inference pipelines to embedded ARM Cortex-M7 / STM32 edge microprocessors to evaluate sub-millisecond execution.</w:t>
        <w:br/>
        <w:t>4) Inverter Harmonic Compensation: Formulate PWM carrier frequency decoupling algorithms to eliminate false rotor bar sidebands in VFD-fed installations.</w:t>
        <w:br/>
        <w:t>5) Acoustic Emission and Flux Sensor Fusion: Integrate external stray magnetic flux coils and high-frequency acoustic emission probes for ultra-early bearing micro-pitting detection.</w:t>
      </w:r>
    </w:p>
    <w:p>
      <w:pPr>
        <w:keepNext/>
        <w:spacing w:before="180" w:after="60" w:line="240" w:lineRule="auto"/>
        <w:jc w:val="center"/>
      </w:pPr>
      <w:r>
        <w:rPr>
          <w:rFonts w:ascii="Times New Roman" w:hAnsi="Times New Roman"/>
          <w:b/>
          <w:i w:val="0"/>
          <w:sz w:val="20"/>
        </w:rPr>
        <w:t>REFERENCES</w:t>
      </w:r>
    </w:p>
    <w:p>
      <w:pPr>
        <w:spacing w:after="40" w:line="240" w:lineRule="auto"/>
      </w:pPr>
      <w:r>
        <w:rPr>
          <w:rFonts w:ascii="Times New Roman" w:hAnsi="Times New Roman"/>
          <w:b w:val="0"/>
          <w:i w:val="0"/>
          <w:sz w:val="16"/>
        </w:rPr>
        <w:t>[1] A. H. Bonnett and G. C. Soukup, "Cause and analysis of stator and rotor failures in three-phase squirrel-cage induction motors," IEEE Trans. Ind. Appl., vol. 28, no. 4, pp. 921–937, Jul./Aug. 1992.</w:t>
      </w:r>
    </w:p>
    <w:p>
      <w:pPr>
        <w:spacing w:after="40" w:line="240" w:lineRule="auto"/>
      </w:pPr>
      <w:r>
        <w:rPr>
          <w:rFonts w:ascii="Times New Roman" w:hAnsi="Times New Roman"/>
          <w:b w:val="0"/>
          <w:i w:val="0"/>
          <w:sz w:val="16"/>
        </w:rPr>
        <w:t>[2] W. T. Thomson and M. Fenger, "Current signature analysis to detect induction motor faults," IEEE Ind. Appl. Mag., vol. 7, no. 4, pp. 26–34, Jul./Aug. 2001.</w:t>
      </w:r>
    </w:p>
    <w:p>
      <w:pPr>
        <w:spacing w:after="40" w:line="240" w:lineRule="auto"/>
      </w:pPr>
      <w:r>
        <w:rPr>
          <w:rFonts w:ascii="Times New Roman" w:hAnsi="Times New Roman"/>
          <w:b w:val="0"/>
          <w:i w:val="0"/>
          <w:sz w:val="16"/>
        </w:rPr>
        <w:t>[3] S. Nandi, H. A. Toliyat, and X. Li, "Condition monitoring and fault diagnosis of electrical machines—A review," IEEE Trans. Energy Convers., vol. 20, no. 4, pp. 719–729, Dec. 2005.</w:t>
      </w:r>
    </w:p>
    <w:p>
      <w:pPr>
        <w:spacing w:after="40" w:line="240" w:lineRule="auto"/>
      </w:pPr>
      <w:r>
        <w:rPr>
          <w:rFonts w:ascii="Times New Roman" w:hAnsi="Times New Roman"/>
          <w:b w:val="0"/>
          <w:i w:val="0"/>
          <w:sz w:val="16"/>
        </w:rPr>
        <w:t>[4] ISO 10816-3:2009, Mechanical vibration—Evaluation of machine vibration by measurements on non-rotating parts—Part 3: Industrial machines with nominal power above 15 kW and nominal speeds between 120 r/min and 15 000 r/min, ISO, Geneva, Switzerland.</w:t>
      </w:r>
    </w:p>
    <w:p>
      <w:pPr>
        <w:spacing w:after="40" w:line="240" w:lineRule="auto"/>
      </w:pPr>
      <w:r>
        <w:rPr>
          <w:rFonts w:ascii="Times New Roman" w:hAnsi="Times New Roman"/>
          <w:b w:val="0"/>
          <w:i w:val="0"/>
          <w:sz w:val="16"/>
        </w:rPr>
        <w:t>[5] S. Yuan et al., "MMAUD: A comprehensive multi-modal dataset for miniature mechanical threats," in Proc. IEEE ICRA, 2024, pp. 2745–2751.</w:t>
      </w:r>
    </w:p>
    <w:p>
      <w:pPr>
        <w:spacing w:after="40" w:line="240" w:lineRule="auto"/>
      </w:pPr>
      <w:r>
        <w:rPr>
          <w:rFonts w:ascii="Times New Roman" w:hAnsi="Times New Roman"/>
          <w:b w:val="0"/>
          <w:i w:val="0"/>
          <w:sz w:val="16"/>
        </w:rPr>
        <w:t>[6] J. Gao, L. Tao, and C. Li, "Digital twin-driven predictive maintenance for industrial equipment: A survey," IEEE Trans. Ind. Inf., vol. 17, no. 6, pp. 3715–3726, Jun. 2021.</w:t>
      </w:r>
    </w:p>
    <w:p>
      <w:pPr>
        <w:spacing w:after="40" w:line="240" w:lineRule="auto"/>
      </w:pPr>
      <w:r>
        <w:rPr>
          <w:rFonts w:ascii="Times New Roman" w:hAnsi="Times New Roman"/>
          <w:b w:val="0"/>
          <w:i w:val="0"/>
          <w:sz w:val="16"/>
        </w:rPr>
        <w:t>[7] S. Suttorp et al., "Uncertainty-aware multimodal industrial detection via evidential fusion," arXiv preprint arXiv:2608.29235, 2026.</w:t>
      </w:r>
    </w:p>
    <w:sectPr w:rsidR="00FC693F" w:rsidRPr="0006063C" w:rsidSect="00034616">
      <w:pgSz w:w="12240" w:h="15840"/>
      <w:pgMar w:top="1080" w:right="936" w:bottom="1224" w:left="936"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