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Times New Roman" w:hAnsi="Times New Roman"/>
          <w:b/>
          <w:i w:val="0"/>
          <w:sz w:val="36"/>
        </w:rPr>
        <w:t>Physics-Informed Digital Twin and Decision-Calibrated Multi-Sensor Fusion for Resilient Induction Motor Fault Diagnosis Under Operational Uncertainty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spacing w:after="20"/>
              <w:jc w:val="center"/>
            </w:pPr>
            <w:r>
              <w:rPr>
                <w:rFonts w:ascii="Times New Roman" w:hAnsi="Times New Roman"/>
                <w:b/>
                <w:i w:val="0"/>
                <w:sz w:val="20"/>
              </w:rPr>
              <w:t>Vivek (Lead Author)</w:t>
            </w:r>
          </w:p>
          <w:p>
            <w:pPr>
              <w:spacing w:after="160" w:line="240" w:lineRule="auto"/>
              <w:jc w:val="center"/>
            </w:pPr>
            <w:r>
              <w:rPr>
                <w:rFonts w:ascii="Times New Roman" w:hAnsi="Times New Roman"/>
                <w:b w:val="0"/>
                <w:i w:val="0"/>
                <w:sz w:val="18"/>
              </w:rPr>
              <w:t>Student / Research Scholar</w:t>
              <w:br/>
              <w:t>Department of Electrical &amp; Computer Engineering</w:t>
              <w:br/>
              <w:t>Academic Institution / University Name</w:t>
              <w:br/>
              <w:t>Email: vivekviveka1204@gmail.com</w:t>
            </w:r>
          </w:p>
        </w:tc>
        <w:tc>
          <w:tcPr>
            <w:tcW w:type="dxa" w:w="5184"/>
          </w:tcPr>
          <w:p>
            <w:pPr>
              <w:spacing w:after="20"/>
              <w:jc w:val="center"/>
            </w:pPr>
            <w:r>
              <w:rPr>
                <w:rFonts w:ascii="Times New Roman" w:hAnsi="Times New Roman"/>
                <w:b/>
                <w:i w:val="0"/>
                <w:sz w:val="20"/>
              </w:rPr>
              <w:t>Faculty Advisor (Guide)</w:t>
            </w:r>
          </w:p>
          <w:p>
            <w:pPr>
              <w:spacing w:after="160" w:line="240" w:lineRule="auto"/>
              <w:jc w:val="center"/>
            </w:pPr>
            <w:r>
              <w:rPr>
                <w:rFonts w:ascii="Times New Roman" w:hAnsi="Times New Roman"/>
                <w:b w:val="0"/>
                <w:i w:val="0"/>
                <w:sz w:val="18"/>
              </w:rPr>
              <w:t>Associate Professor</w:t>
              <w:br/>
              <w:t>Department of Electrical &amp; Computer Engineering</w:t>
              <w:br/>
              <w:t>Academic Institution / University Name</w:t>
              <w:br/>
              <w:t>Email: guide.advisor@university.edu</w:t>
            </w:r>
          </w:p>
        </w:tc>
      </w:tr>
      <w:tr>
        <w:tc>
          <w:tcPr>
            <w:tcW w:type="dxa" w:w="5184"/>
          </w:tcPr>
          <w:p>
            <w:pPr>
              <w:spacing w:after="20"/>
              <w:jc w:val="center"/>
            </w:pPr>
            <w:r>
              <w:rPr>
                <w:rFonts w:ascii="Times New Roman" w:hAnsi="Times New Roman"/>
                <w:b/>
                <w:i w:val="0"/>
                <w:sz w:val="20"/>
              </w:rPr>
              <w:t>Industrial Research Collaborator</w:t>
            </w:r>
          </w:p>
          <w:p>
            <w:pPr>
              <w:spacing w:after="160" w:line="240" w:lineRule="auto"/>
              <w:jc w:val="center"/>
            </w:pPr>
            <w:r>
              <w:rPr>
                <w:rFonts w:ascii="Times New Roman" w:hAnsi="Times New Roman"/>
                <w:b w:val="0"/>
                <w:i w:val="0"/>
                <w:sz w:val="18"/>
              </w:rPr>
              <w:t>Staff Research Engineer</w:t>
              <w:br/>
              <w:t>Department of Automation &amp; Drive Systems</w:t>
              <w:br/>
              <w:t>Smart Industry Research Center</w:t>
            </w:r>
          </w:p>
        </w:tc>
        <w:tc>
          <w:tcPr>
            <w:tcW w:type="dxa" w:w="5184"/>
          </w:tcPr>
          <w:p>
            <w:pPr>
              <w:spacing w:after="20"/>
              <w:jc w:val="center"/>
            </w:pPr>
            <w:r>
              <w:rPr>
                <w:rFonts w:ascii="Times New Roman" w:hAnsi="Times New Roman"/>
                <w:b/>
                <w:i w:val="0"/>
                <w:sz w:val="20"/>
              </w:rPr>
              <w:t>Technical Project Co-Guide</w:t>
            </w:r>
          </w:p>
          <w:p>
            <w:pPr>
              <w:spacing w:after="160" w:line="240" w:lineRule="auto"/>
              <w:jc w:val="center"/>
            </w:pPr>
            <w:r>
              <w:rPr>
                <w:rFonts w:ascii="Times New Roman" w:hAnsi="Times New Roman"/>
                <w:b w:val="0"/>
                <w:i w:val="0"/>
                <w:sz w:val="18"/>
              </w:rPr>
              <w:t>Senior Scientist</w:t>
              <w:br/>
              <w:t>Center for Cyber-Physical Systems &amp; Digital Twins</w:t>
              <w:br/>
              <w:t>National Industrial Automation Consortium</w:t>
            </w:r>
          </w:p>
        </w:tc>
      </w:tr>
    </w:tbl>
    <w:p>
      <w:pPr>
        <w:spacing w:before="80" w:after="0"/>
      </w:pPr>
    </w:p>
    <w:p>
      <w:pPr>
        <w:sectPr>
          <w:pgSz w:w="12240" w:h="15840"/>
          <w:pgMar w:top="1080" w:right="936" w:bottom="1224" w:left="936" w:header="720" w:footer="720" w:gutter="0"/>
          <w:cols w:space="720"/>
          <w:docGrid w:linePitch="360"/>
        </w:sectPr>
      </w:pPr>
    </w:p>
    <w:p>
      <w:pPr>
        <w:spacing w:after="100" w:line="240" w:lineRule="auto"/>
        <w:jc w:val="both"/>
      </w:pPr>
      <w:r>
        <w:rPr>
          <w:rFonts w:ascii="Times New Roman" w:hAnsi="Times New Roman"/>
          <w:b/>
          <w:i/>
          <w:sz w:val="18"/>
        </w:rPr>
        <w:t xml:space="preserve">Abstract— </w:t>
      </w:r>
      <w:r>
        <w:rPr>
          <w:rFonts w:ascii="Times New Roman" w:hAnsi="Times New Roman"/>
          <w:b w:val="0"/>
          <w:i w:val="0"/>
          <w:sz w:val="18"/>
        </w:rPr>
        <w:t>Three-phase squirrel-cage induction motors are being used extensively across critical industrial processes; however, detecting incipient electromechanical degradation remains challenging. Stator current, vibration velocity, and thermal RTD sensors each have their own limitations. Stator current analysis can be obscured by variable mechanical load swings, vibration sensors may miss internal winding micro-shorts during early insulation breakdown, and thermal sensors suffer from severe heat conduction delays. This study presents a physics-informed digital twin and multi-sensor fusion method that combines electrical, mechanical, and thermal telemetry. Instead of assigning static heuristic trip thresholds, the system calculates a dynamic Motor Health Index (MHI) and condition confidence governed by Kloss torque-speed kinematics, Motor Current Signature Analysis (MCSA), and ISO 10816-3 severity standards. A calibrated Random Forest binary classifier detects impending failures with 88.0% accuracy and 81.25% recall at an optimized decision threshold (θ = 0.40), while a 7-class ensemble isolates fault modes with 91.43% accuracy. A software prototype was developed using Python, Streamlit, SQLite, and Plotly to evaluate the system under normal and simulated degradation scenarios. The results confirm that incorporating physical electromechanical governing laws into decision-calibrated fusion prevents false alarms and enhances fault localization confidence.</w:t>
      </w:r>
    </w:p>
    <w:p>
      <w:pPr>
        <w:spacing w:after="160"/>
        <w:jc w:val="both"/>
      </w:pPr>
      <w:r>
        <w:rPr>
          <w:rFonts w:ascii="Times New Roman" w:hAnsi="Times New Roman"/>
          <w:b/>
          <w:i/>
          <w:sz w:val="18"/>
        </w:rPr>
        <w:t xml:space="preserve">*Keywords—* </w:t>
      </w:r>
      <w:r>
        <w:rPr>
          <w:rFonts w:ascii="Times New Roman" w:hAnsi="Times New Roman"/>
          <w:b w:val="0"/>
          <w:i w:val="0"/>
          <w:sz w:val="18"/>
        </w:rPr>
        <w:t>Induction Motor, Digital Twin, Multi-Sensor Fusion, Sensor Reliability, MCSA, Kloss Formulation, ISO 10816-3, Predictive Maintenance.</w:t>
      </w:r>
    </w:p>
    <w:p>
      <w:pPr>
        <w:keepNext/>
        <w:spacing w:before="160" w:after="60" w:line="240" w:lineRule="auto"/>
        <w:jc w:val="center"/>
      </w:pPr>
      <w:r>
        <w:rPr>
          <w:rFonts w:ascii="Times New Roman" w:hAnsi="Times New Roman"/>
          <w:b/>
          <w:i w:val="0"/>
          <w:sz w:val="20"/>
        </w:rPr>
        <w:t>I. INTRODUCTION</w:t>
      </w:r>
    </w:p>
    <w:p>
      <w:pPr>
        <w:spacing w:after="70" w:line="240" w:lineRule="auto"/>
        <w:ind w:firstLine="200"/>
        <w:jc w:val="both"/>
      </w:pPr>
      <w:r>
        <w:rPr>
          <w:rFonts w:ascii="Times New Roman" w:hAnsi="Times New Roman"/>
          <w:b w:val="0"/>
          <w:i w:val="0"/>
          <w:sz w:val="19"/>
        </w:rPr>
        <w:t>Recently, there has been an intensified commercial and industrial focus on smart manufacturing and electrification. Three-phase squirrel-cage induction motors serve as the primary prime movers across continuous-process facilities, driving slurry pumps, ventilation fans, compressors, conveyors, and extruders [1]. Unexpected downtime in these mission-critical assets introduces catastrophic production halts, often costing plant operators tens of thousands of dollars per hour. Induction motors operating under low or variable loading are difficult to monitor reliably, as no single sensing modality performs adequately across all fault mechanisms [2]. Vibration sensors perform effectively for mechanical imbalances but fail to detect early stator winding turn-to-turn insulation breakdown [3]. Current transformers can isolate motor electrical asymmetries but may produce ambiguous readings under dynamic load swings [4]. Thermal RTD sensors provide direct winding temperature measurements but exhibit high thermal inertia, failing to alert operators of rapid mechanical seizures [5].</w:t>
      </w:r>
    </w:p>
    <w:p>
      <w:pPr>
        <w:spacing w:after="70" w:line="240" w:lineRule="auto"/>
        <w:ind w:firstLine="200"/>
        <w:jc w:val="both"/>
      </w:pPr>
      <w:r>
        <w:rPr>
          <w:rFonts w:ascii="Times New Roman" w:hAnsi="Times New Roman"/>
          <w:b w:val="0"/>
          <w:i w:val="0"/>
          <w:sz w:val="19"/>
        </w:rPr>
        <w:t>Adaptive condition monitoring addresses this issue by continuously adjusting to real-time electromechanical conditions. Although deep reinforcement learning and neural backbones have shown promise for laboratory benchmarks, permanent plant adoption depends heavily on reliable, interpretable execution on factory edge controllers [1]. Previously, studies were conducted on isolated vibration spectral analysis [2], deep recurrent neural networks for anomaly detection [3], and thermal imaging surveillance [4]. Many industrial monitoring methods do not fully capture multi-modal cross-coupling and dynamic operational transients. Moreover, diagnostic accuracy cannot be guaranteed across all operational regimes. Static sensor thresholding may not detect localized turn faults early, while transient current spikes during motor startup may indicate legitimate grid fluctuations rather than asset failure. However, sensor degradation can also result from environmental transducer drift or line noise, making uncalibrated fault isolation difficult. False alarms trigger unnecessary emergency tripping, incurring prohibitive production losses. This paper presents a physics-informed digital twin framework and decision-calibrated multi-sensor fusion architecture evaluated on a multi-machine industrial simulator testbed spanning 7.5 kW to 45 kW drives. The study aims to investigate both diagnostic performance gains and operational limitations through three research questions:</w:t>
      </w:r>
    </w:p>
    <w:p>
      <w:pPr>
        <w:spacing w:before="60" w:after="40"/>
        <w:ind w:left="120"/>
        <w:jc w:val="both"/>
      </w:pPr>
      <w:r>
        <w:rPr>
          <w:rFonts w:ascii="Times New Roman" w:hAnsi="Times New Roman"/>
          <w:b w:val="0"/>
          <w:i/>
          <w:sz w:val="19"/>
        </w:rPr>
        <w:t>RQ1: How do variable mechanical load swings and supply line voltage imbalances affect individual current, vibration, and thermal sensors in induction machines?</w:t>
      </w:r>
    </w:p>
    <w:p>
      <w:pPr>
        <w:spacing w:before="40" w:after="40"/>
        <w:ind w:left="120"/>
        <w:jc w:val="both"/>
      </w:pPr>
      <w:r>
        <w:rPr>
          <w:rFonts w:ascii="Times New Roman" w:hAnsi="Times New Roman"/>
          <w:b w:val="0"/>
          <w:i/>
          <w:sz w:val="19"/>
        </w:rPr>
        <w:t>RQ2: Can electromechanical governing laws (Kloss torque formulation and MCSA slip sidebands) dynamically validate sensor reliability in real time?</w:t>
      </w:r>
    </w:p>
    <w:p>
      <w:pPr>
        <w:spacing w:before="40" w:after="80"/>
        <w:ind w:left="120"/>
        <w:jc w:val="both"/>
      </w:pPr>
      <w:r>
        <w:rPr>
          <w:rFonts w:ascii="Times New Roman" w:hAnsi="Times New Roman"/>
          <w:b w:val="0"/>
          <w:i/>
          <w:sz w:val="19"/>
        </w:rPr>
        <w:t>RQ3: What is the detector efficiency under asymmetric industrial failure cost matrices, and what is the frequency of false alarms generated by static thresholding versus decision-calibrated ensembles?</w:t>
      </w:r>
    </w:p>
    <w:p>
      <w:pPr>
        <w:spacing w:before="80" w:after="40"/>
      </w:pPr>
      <w:r>
        <w:rPr>
          <w:rFonts w:ascii="Times New Roman" w:hAnsi="Times New Roman"/>
          <w:b w:val="0"/>
          <w:i w:val="0"/>
          <w:sz w:val="19"/>
        </w:rPr>
        <w:t>The main contributions are:</w:t>
      </w:r>
    </w:p>
    <w:p>
      <w:pPr>
        <w:spacing w:before="20" w:after="60" w:line="240" w:lineRule="auto"/>
        <w:ind w:left="240" w:hanging="200"/>
        <w:jc w:val="both"/>
      </w:pPr>
      <w:r>
        <w:rPr>
          <w:rFonts w:ascii="Times New Roman" w:hAnsi="Times New Roman"/>
          <w:b/>
          <w:i w:val="0"/>
          <w:sz w:val="19"/>
        </w:rPr>
        <w:t xml:space="preserve">•  </w:t>
      </w:r>
      <w:r>
        <w:rPr>
          <w:rFonts w:ascii="Times New Roman" w:hAnsi="Times New Roman"/>
          <w:b/>
          <w:i w:val="0"/>
          <w:sz w:val="19"/>
        </w:rPr>
        <w:t xml:space="preserve">Interpretable Physics-Anchored Modeling: </w:t>
      </w:r>
      <w:r>
        <w:rPr>
          <w:rFonts w:ascii="Times New Roman" w:hAnsi="Times New Roman"/>
          <w:b w:val="0"/>
          <w:i w:val="0"/>
          <w:sz w:val="19"/>
        </w:rPr>
        <w:t>Couples real-time sensory data with first-principles electromechanical equations, including fractional slip dynamics, Kloss breakdown torque envelopes, MCSA broken rotor bar sidebands, and ISO 10816-3 vibration severity limits.</w:t>
      </w:r>
    </w:p>
    <w:p>
      <w:pPr>
        <w:spacing w:before="20" w:after="60" w:line="240" w:lineRule="auto"/>
        <w:ind w:left="240" w:hanging="200"/>
        <w:jc w:val="both"/>
      </w:pPr>
      <w:r>
        <w:rPr>
          <w:rFonts w:ascii="Times New Roman" w:hAnsi="Times New Roman"/>
          <w:b/>
          <w:i w:val="0"/>
          <w:sz w:val="19"/>
        </w:rPr>
        <w:t xml:space="preserve">•  </w:t>
      </w:r>
      <w:r>
        <w:rPr>
          <w:rFonts w:ascii="Times New Roman" w:hAnsi="Times New Roman"/>
          <w:b/>
          <w:i w:val="0"/>
          <w:sz w:val="19"/>
        </w:rPr>
        <w:t xml:space="preserve">Asymmetric Cost Decision Calibration: </w:t>
      </w:r>
      <w:r>
        <w:rPr>
          <w:rFonts w:ascii="Times New Roman" w:hAnsi="Times New Roman"/>
          <w:b w:val="0"/>
          <w:i w:val="0"/>
          <w:sz w:val="19"/>
        </w:rPr>
        <w:t>Optimizes the classification decision boundary (θ = 0.40) to reflect the real-world operational cost penalty of missed catastrophic failures, increasing operational failure recall to 81.25%.</w:t>
      </w:r>
    </w:p>
    <w:p>
      <w:pPr>
        <w:spacing w:before="20" w:after="60" w:line="240" w:lineRule="auto"/>
        <w:ind w:left="240" w:hanging="200"/>
        <w:jc w:val="both"/>
      </w:pPr>
      <w:r>
        <w:rPr>
          <w:rFonts w:ascii="Times New Roman" w:hAnsi="Times New Roman"/>
          <w:b/>
          <w:i w:val="0"/>
          <w:sz w:val="19"/>
        </w:rPr>
        <w:t xml:space="preserve">•  </w:t>
      </w:r>
      <w:r>
        <w:rPr>
          <w:rFonts w:ascii="Times New Roman" w:hAnsi="Times New Roman"/>
          <w:b/>
          <w:i w:val="0"/>
          <w:sz w:val="19"/>
        </w:rPr>
        <w:t xml:space="preserve">Multi-Fault Diagnostic Localization: </w:t>
      </w:r>
      <w:r>
        <w:rPr>
          <w:rFonts w:ascii="Times New Roman" w:hAnsi="Times New Roman"/>
          <w:b w:val="0"/>
          <w:i w:val="0"/>
          <w:sz w:val="19"/>
        </w:rPr>
        <w:t>Implements a balanced 7-class ensemble classifier achieving 91.43% overall diagnostic accuracy across baseline, stator turn shorts, broken rotor bars, bearing spalling, eccentricity, and thermal overloads.</w:t>
      </w:r>
    </w:p>
    <w:p>
      <w:pPr>
        <w:spacing w:before="20" w:after="60" w:line="240" w:lineRule="auto"/>
        <w:ind w:left="240" w:hanging="200"/>
        <w:jc w:val="both"/>
      </w:pPr>
      <w:r>
        <w:rPr>
          <w:rFonts w:ascii="Times New Roman" w:hAnsi="Times New Roman"/>
          <w:b/>
          <w:i w:val="0"/>
          <w:sz w:val="19"/>
        </w:rPr>
        <w:t xml:space="preserve">•  </w:t>
      </w:r>
      <w:r>
        <w:rPr>
          <w:rFonts w:ascii="Times New Roman" w:hAnsi="Times New Roman"/>
          <w:b/>
          <w:i w:val="0"/>
          <w:sz w:val="19"/>
        </w:rPr>
        <w:t xml:space="preserve">Closed-Loop Prescriptive SCADA Twin: </w:t>
      </w:r>
      <w:r>
        <w:rPr>
          <w:rFonts w:ascii="Times New Roman" w:hAnsi="Times New Roman"/>
          <w:b w:val="0"/>
          <w:i w:val="0"/>
          <w:sz w:val="19"/>
        </w:rPr>
        <w:t>Develops a deployable digital twin cockpit in Python, Streamlit, and SQLite that executes within 0.8 ms and maps inference directly to standardized engineering Standard Operating Procedures (SOPs).</w:t>
      </w:r>
    </w:p>
    <w:p>
      <w:pPr>
        <w:keepNext/>
        <w:spacing w:before="160" w:after="60" w:line="240" w:lineRule="auto"/>
        <w:jc w:val="center"/>
      </w:pPr>
      <w:r>
        <w:rPr>
          <w:rFonts w:ascii="Times New Roman" w:hAnsi="Times New Roman"/>
          <w:b/>
          <w:i w:val="0"/>
          <w:sz w:val="20"/>
        </w:rPr>
        <w:t>II. LITERATURE REVIEW</w:t>
      </w:r>
    </w:p>
    <w:p>
      <w:pPr>
        <w:spacing w:after="70" w:line="240" w:lineRule="auto"/>
        <w:ind w:firstLine="200"/>
        <w:jc w:val="both"/>
      </w:pPr>
      <w:r>
        <w:rPr>
          <w:rFonts w:ascii="Times New Roman" w:hAnsi="Times New Roman"/>
          <w:b w:val="0"/>
          <w:i w:val="0"/>
          <w:sz w:val="19"/>
        </w:rPr>
        <w:t>A software prototype was developed in Python and Streamlit utilizing realistic physics-informed telemetry. The prototype demonstrated the proposed diagnostic methodology across both healthy baseline and degraded operational states. Simulated datasets allowed for rigorous stress testing and benchmarking. Potential extensions toward embedded PLC execution were examined.</w:t>
      </w:r>
    </w:p>
    <w:p>
      <w:pPr>
        <w:spacing w:after="70" w:line="240" w:lineRule="auto"/>
        <w:ind w:firstLine="200"/>
        <w:jc w:val="both"/>
      </w:pPr>
      <w:r>
        <w:rPr>
          <w:rFonts w:ascii="Times New Roman" w:hAnsi="Times New Roman"/>
          <w:b w:val="0"/>
          <w:i w:val="0"/>
          <w:sz w:val="19"/>
        </w:rPr>
        <w:t>Research on induction machine condition monitoring has steadily progressed from single-sensor heuristic methods to advanced multi-sensor data fusion architectures [6][7]. This section reviews single-sensor detection modalities as well as modern multi-sensor frameworks and their associated research gaps.</w:t>
      </w:r>
    </w:p>
    <w:p>
      <w:pPr>
        <w:keepNext/>
        <w:spacing w:before="120" w:after="40" w:line="240" w:lineRule="auto"/>
      </w:pPr>
      <w:r>
        <w:rPr>
          <w:rFonts w:ascii="Times New Roman" w:hAnsi="Times New Roman"/>
          <w:b/>
          <w:i/>
          <w:sz w:val="19"/>
        </w:rPr>
        <w:t>A. Single-Sensor Detection Modalities</w:t>
      </w:r>
    </w:p>
    <w:p>
      <w:pPr>
        <w:keepNext/>
        <w:spacing w:before="80" w:after="20" w:line="240" w:lineRule="auto"/>
      </w:pPr>
      <w:r>
        <w:rPr>
          <w:rFonts w:ascii="Times New Roman" w:hAnsi="Times New Roman"/>
          <w:b w:val="0"/>
          <w:i/>
          <w:sz w:val="18"/>
        </w:rPr>
        <w:t xml:space="preserve">1) Vibration Velocity and Shock Pulse Analysis: </w:t>
      </w:r>
    </w:p>
    <w:p>
      <w:pPr>
        <w:spacing w:after="70" w:line="240" w:lineRule="auto"/>
        <w:ind w:firstLine="200"/>
        <w:jc w:val="both"/>
      </w:pPr>
      <w:r>
        <w:rPr>
          <w:rFonts w:ascii="Times New Roman" w:hAnsi="Times New Roman"/>
          <w:b w:val="0"/>
          <w:i w:val="0"/>
          <w:sz w:val="19"/>
        </w:rPr>
        <w:t>Vibration monitoring provides direct insight into rotating electromechanical assemblies [2][4]. High-frequency crest factor and velocity RMS are standardized under ISO 10816-3 to detect bearing raceway spalling and shaft unbalance. However, mechanical vibration measurements are susceptible to external foundation background noise, acoustic reverberation, and structural resonance, resulting in frequent false positive alarms.</w:t>
      </w:r>
    </w:p>
    <w:p>
      <w:pPr>
        <w:keepNext/>
        <w:spacing w:before="80" w:after="20" w:line="240" w:lineRule="auto"/>
      </w:pPr>
      <w:r>
        <w:rPr>
          <w:rFonts w:ascii="Times New Roman" w:hAnsi="Times New Roman"/>
          <w:b w:val="0"/>
          <w:i/>
          <w:sz w:val="18"/>
        </w:rPr>
        <w:t xml:space="preserve">2) Motor Current Signature Analysis (MCSA): </w:t>
      </w:r>
    </w:p>
    <w:p>
      <w:pPr>
        <w:spacing w:after="70" w:line="240" w:lineRule="auto"/>
        <w:ind w:firstLine="200"/>
        <w:jc w:val="both"/>
      </w:pPr>
      <w:r>
        <w:rPr>
          <w:rFonts w:ascii="Times New Roman" w:hAnsi="Times New Roman"/>
          <w:b w:val="0"/>
          <w:i w:val="0"/>
          <w:sz w:val="19"/>
        </w:rPr>
        <w:t>Motor Current Signature Analysis monitors non-intrusive stator supply currents to detect broken rotor bars and end-ring fractures through diagnostic sidebands (1 ± 2s)fs [1][3]. While MCSA is highly effective at full load, these diagnostic sidebands collapse toward the 50 Hz fundamental carrier under light loading conditions (s &lt; 0.01), rendering single-sensor MCSA unreliable in variable-duty cycles.</w:t>
      </w:r>
    </w:p>
    <w:p>
      <w:pPr>
        <w:keepNext/>
        <w:spacing w:before="80" w:after="20" w:line="240" w:lineRule="auto"/>
      </w:pPr>
      <w:r>
        <w:rPr>
          <w:rFonts w:ascii="Times New Roman" w:hAnsi="Times New Roman"/>
          <w:b w:val="0"/>
          <w:i/>
          <w:sz w:val="18"/>
        </w:rPr>
        <w:t xml:space="preserve">3) Thermal RTD and Infrared Thermography: </w:t>
      </w:r>
    </w:p>
    <w:p>
      <w:pPr>
        <w:spacing w:after="70" w:line="240" w:lineRule="auto"/>
        <w:ind w:firstLine="200"/>
        <w:jc w:val="both"/>
      </w:pPr>
      <w:r>
        <w:rPr>
          <w:rFonts w:ascii="Times New Roman" w:hAnsi="Times New Roman"/>
          <w:b w:val="0"/>
          <w:i w:val="0"/>
          <w:sz w:val="19"/>
        </w:rPr>
        <w:t>Thermal sensors track copper and iron core heat accumulation against NEMA insulation temperature limits [1][4]. The primary drawback of thermal sensing is physical latency: localized winding hotspots require several minutes to conduct heat outward to embedded RTDs, making thermal telemetry incapable of catching rapid transient electrical arc shorts.</w:t>
      </w:r>
    </w:p>
    <w:p>
      <w:pPr>
        <w:keepNext/>
        <w:spacing w:before="120" w:after="40" w:line="240" w:lineRule="auto"/>
      </w:pPr>
      <w:r>
        <w:rPr>
          <w:rFonts w:ascii="Times New Roman" w:hAnsi="Times New Roman"/>
          <w:b/>
          <w:i/>
          <w:sz w:val="19"/>
        </w:rPr>
        <w:t>B. Multi-Sensor Fusion Frameworks and Datasets</w:t>
      </w:r>
    </w:p>
    <w:p>
      <w:pPr>
        <w:spacing w:after="70" w:line="240" w:lineRule="auto"/>
        <w:ind w:firstLine="200"/>
        <w:jc w:val="both"/>
      </w:pPr>
      <w:r>
        <w:rPr>
          <w:rFonts w:ascii="Times New Roman" w:hAnsi="Times New Roman"/>
          <w:b w:val="0"/>
          <w:i w:val="0"/>
          <w:sz w:val="19"/>
        </w:rPr>
        <w:t>To overcome the vulnerabilities inherent in single-sensor systems, modern architectures incorporate multi-modal sensory streams [1]. Svanström et al. published multi-sensor datasets demonstrating that combining current, vibration, and thermal channels drastically reduces false alarms compared to isolated sensor channels [4]. Similarly, Yuan et al. developed multi-modal trajectory benchmarks emphasizing that sensor fusion delivers superior robustness [5].</w:t>
      </w:r>
    </w:p>
    <w:p>
      <w:pPr>
        <w:keepNext/>
        <w:spacing w:before="120" w:after="40" w:line="240" w:lineRule="auto"/>
      </w:pPr>
      <w:r>
        <w:rPr>
          <w:rFonts w:ascii="Times New Roman" w:hAnsi="Times New Roman"/>
          <w:b/>
          <w:i/>
          <w:sz w:val="19"/>
        </w:rPr>
        <w:t>C. Handling Sensor Uncertainty and Unreliability</w:t>
      </w:r>
    </w:p>
    <w:p>
      <w:pPr>
        <w:spacing w:after="70" w:line="240" w:lineRule="auto"/>
        <w:ind w:firstLine="200"/>
        <w:jc w:val="both"/>
      </w:pPr>
      <w:r>
        <w:rPr>
          <w:rFonts w:ascii="Times New Roman" w:hAnsi="Times New Roman"/>
          <w:b w:val="0"/>
          <w:i w:val="0"/>
          <w:sz w:val="19"/>
        </w:rPr>
        <w:t>Factory line noise, harmonic distortions from variable-frequency drives (VFDs), and mechanical transducer drift frequently degrade industrial sensor data [1][7]. Conventional SCADA fusion techniques treat all sensor inputs equally, allowing corrupted channels to contaminate the aggregated decision. Sensor anomalies can severely degrade overall plant reliability unless filtered via dynamic physical validation [7].</w:t>
      </w:r>
    </w:p>
    <w:p>
      <w:pPr>
        <w:jc w:val="center"/>
      </w:pPr>
      <w:r>
        <w:rPr>
          <w:rFonts w:ascii="Times New Roman" w:hAnsi="Times New Roman"/>
          <w:b/>
          <w:i w:val="0"/>
          <w:sz w:val="16"/>
        </w:rPr>
        <w:t>TABLE I. LITERATURE REVIEW COMPARISON OF MOTOR DIAGNOSTIC METHODS</w:t>
      </w:r>
    </w:p>
    <w:tbl>
      <w:tblPr>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shd w:val="clear" w:color="auto" w:fill="EAEEF3"/>
          </w:tcPr>
          <w:p>
            <w:r>
              <w:rPr>
                <w:rFonts w:ascii="Times New Roman" w:hAnsi="Times New Roman"/>
                <w:b/>
                <w:i w:val="0"/>
                <w:sz w:val="15"/>
              </w:rPr>
              <w:t>Reference</w:t>
            </w:r>
          </w:p>
        </w:tc>
        <w:tc>
          <w:tcPr>
            <w:tcW w:type="dxa" w:w="2074"/>
            <w:vAlign w:val="center"/>
            <w:shd w:val="clear" w:color="auto" w:fill="EAEEF3"/>
          </w:tcPr>
          <w:p>
            <w:r>
              <w:rPr>
                <w:rFonts w:ascii="Times New Roman" w:hAnsi="Times New Roman"/>
                <w:b/>
                <w:i w:val="0"/>
                <w:sz w:val="15"/>
              </w:rPr>
              <w:t>Sensors Used</w:t>
            </w:r>
          </w:p>
        </w:tc>
        <w:tc>
          <w:tcPr>
            <w:tcW w:type="dxa" w:w="2074"/>
            <w:vAlign w:val="center"/>
            <w:shd w:val="clear" w:color="auto" w:fill="EAEEF3"/>
          </w:tcPr>
          <w:p>
            <w:r>
              <w:rPr>
                <w:rFonts w:ascii="Times New Roman" w:hAnsi="Times New Roman"/>
                <w:b/>
                <w:i w:val="0"/>
                <w:sz w:val="15"/>
              </w:rPr>
              <w:t>Method / Algorithm</w:t>
            </w:r>
          </w:p>
        </w:tc>
        <w:tc>
          <w:tcPr>
            <w:tcW w:type="dxa" w:w="2074"/>
            <w:vAlign w:val="center"/>
            <w:shd w:val="clear" w:color="auto" w:fill="EAEEF3"/>
          </w:tcPr>
          <w:p>
            <w:r>
              <w:rPr>
                <w:rFonts w:ascii="Times New Roman" w:hAnsi="Times New Roman"/>
                <w:b/>
                <w:i w:val="0"/>
                <w:sz w:val="15"/>
              </w:rPr>
              <w:t>Main Results</w:t>
            </w:r>
          </w:p>
        </w:tc>
        <w:tc>
          <w:tcPr>
            <w:tcW w:type="dxa" w:w="2074"/>
            <w:vAlign w:val="center"/>
            <w:shd w:val="clear" w:color="auto" w:fill="EAEEF3"/>
          </w:tcPr>
          <w:p>
            <w:r>
              <w:rPr>
                <w:rFonts w:ascii="Times New Roman" w:hAnsi="Times New Roman"/>
                <w:b/>
                <w:i w:val="0"/>
                <w:sz w:val="15"/>
              </w:rPr>
              <w:t>Limitations &amp; Research Gaps</w:t>
            </w:r>
          </w:p>
        </w:tc>
      </w:tr>
      <w:tr>
        <w:trPr>
          <w:cantSplit/>
        </w:trPr>
        <w:tc>
          <w:tcPr>
            <w:tcW w:type="dxa" w:w="2074"/>
            <w:vAlign w:val="center"/>
          </w:tcPr>
          <w:p>
            <w:r>
              <w:rPr>
                <w:rFonts w:ascii="Times New Roman" w:hAnsi="Times New Roman"/>
                <w:b w:val="0"/>
                <w:i w:val="0"/>
                <w:sz w:val="14"/>
              </w:rPr>
              <w:t>Bonnett et al. [1]</w:t>
            </w:r>
          </w:p>
        </w:tc>
        <w:tc>
          <w:tcPr>
            <w:tcW w:type="dxa" w:w="2074"/>
            <w:vAlign w:val="center"/>
          </w:tcPr>
          <w:p>
            <w:r>
              <w:rPr>
                <w:rFonts w:ascii="Times New Roman" w:hAnsi="Times New Roman"/>
                <w:b w:val="0"/>
                <w:i w:val="0"/>
                <w:sz w:val="14"/>
              </w:rPr>
              <w:t>Stator Current, Thermal RTD</w:t>
            </w:r>
          </w:p>
        </w:tc>
        <w:tc>
          <w:tcPr>
            <w:tcW w:type="dxa" w:w="2074"/>
            <w:vAlign w:val="center"/>
          </w:tcPr>
          <w:p>
            <w:r>
              <w:rPr>
                <w:rFonts w:ascii="Times New Roman" w:hAnsi="Times New Roman"/>
                <w:b w:val="0"/>
                <w:i w:val="0"/>
                <w:sz w:val="14"/>
              </w:rPr>
              <w:t>Root-cause thermal and magnetic survey</w:t>
            </w:r>
          </w:p>
        </w:tc>
        <w:tc>
          <w:tcPr>
            <w:tcW w:type="dxa" w:w="2074"/>
            <w:vAlign w:val="center"/>
          </w:tcPr>
          <w:p>
            <w:r>
              <w:rPr>
                <w:rFonts w:ascii="Times New Roman" w:hAnsi="Times New Roman"/>
                <w:b w:val="0"/>
                <w:i w:val="0"/>
                <w:sz w:val="14"/>
              </w:rPr>
              <w:t>Establishes stator and rotor failure taxonomy</w:t>
            </w:r>
          </w:p>
        </w:tc>
        <w:tc>
          <w:tcPr>
            <w:tcW w:type="dxa" w:w="2074"/>
            <w:vAlign w:val="center"/>
          </w:tcPr>
          <w:p>
            <w:r>
              <w:rPr>
                <w:rFonts w:ascii="Times New Roman" w:hAnsi="Times New Roman"/>
                <w:b w:val="0"/>
                <w:i w:val="0"/>
                <w:sz w:val="14"/>
              </w:rPr>
              <w:t>Broad review; lacks automated algorithmic multi-sensor fusion.</w:t>
            </w:r>
          </w:p>
        </w:tc>
      </w:tr>
      <w:tr>
        <w:trPr>
          <w:cantSplit/>
        </w:trPr>
        <w:tc>
          <w:tcPr>
            <w:tcW w:type="dxa" w:w="2074"/>
            <w:vAlign w:val="center"/>
          </w:tcPr>
          <w:p>
            <w:r>
              <w:rPr>
                <w:rFonts w:ascii="Times New Roman" w:hAnsi="Times New Roman"/>
                <w:b w:val="0"/>
                <w:i w:val="0"/>
                <w:sz w:val="14"/>
              </w:rPr>
              <w:t>Thomson &amp; Fenger [2]</w:t>
            </w:r>
          </w:p>
        </w:tc>
        <w:tc>
          <w:tcPr>
            <w:tcW w:type="dxa" w:w="2074"/>
            <w:vAlign w:val="center"/>
          </w:tcPr>
          <w:p>
            <w:r>
              <w:rPr>
                <w:rFonts w:ascii="Times New Roman" w:hAnsi="Times New Roman"/>
                <w:b w:val="0"/>
                <w:i w:val="0"/>
                <w:sz w:val="14"/>
              </w:rPr>
              <w:t>Stator Current (1-Phase)</w:t>
            </w:r>
          </w:p>
        </w:tc>
        <w:tc>
          <w:tcPr>
            <w:tcW w:type="dxa" w:w="2074"/>
            <w:vAlign w:val="center"/>
          </w:tcPr>
          <w:p>
            <w:r>
              <w:rPr>
                <w:rFonts w:ascii="Times New Roman" w:hAnsi="Times New Roman"/>
                <w:b w:val="0"/>
                <w:i w:val="0"/>
                <w:sz w:val="14"/>
              </w:rPr>
              <w:t>MCSA spectral sideband tracking</w:t>
            </w:r>
          </w:p>
        </w:tc>
        <w:tc>
          <w:tcPr>
            <w:tcW w:type="dxa" w:w="2074"/>
            <w:vAlign w:val="center"/>
          </w:tcPr>
          <w:p>
            <w:r>
              <w:rPr>
                <w:rFonts w:ascii="Times New Roman" w:hAnsi="Times New Roman"/>
                <w:b w:val="0"/>
                <w:i w:val="0"/>
                <w:sz w:val="14"/>
              </w:rPr>
              <w:t>Isolates broken rotor bars under steady load</w:t>
            </w:r>
          </w:p>
        </w:tc>
        <w:tc>
          <w:tcPr>
            <w:tcW w:type="dxa" w:w="2074"/>
            <w:vAlign w:val="center"/>
          </w:tcPr>
          <w:p>
            <w:r>
              <w:rPr>
                <w:rFonts w:ascii="Times New Roman" w:hAnsi="Times New Roman"/>
                <w:b w:val="0"/>
                <w:i w:val="0"/>
                <w:sz w:val="14"/>
              </w:rPr>
              <w:t>Fails under low-load conditions; ignores bearing vibration interaction.</w:t>
            </w:r>
          </w:p>
        </w:tc>
      </w:tr>
      <w:tr>
        <w:trPr>
          <w:cantSplit/>
        </w:trPr>
        <w:tc>
          <w:tcPr>
            <w:tcW w:type="dxa" w:w="2074"/>
            <w:vAlign w:val="center"/>
          </w:tcPr>
          <w:p>
            <w:r>
              <w:rPr>
                <w:rFonts w:ascii="Times New Roman" w:hAnsi="Times New Roman"/>
                <w:b w:val="0"/>
                <w:i w:val="0"/>
                <w:sz w:val="14"/>
              </w:rPr>
              <w:t>Nandi et al. [3]</w:t>
            </w:r>
          </w:p>
        </w:tc>
        <w:tc>
          <w:tcPr>
            <w:tcW w:type="dxa" w:w="2074"/>
            <w:vAlign w:val="center"/>
          </w:tcPr>
          <w:p>
            <w:r>
              <w:rPr>
                <w:rFonts w:ascii="Times New Roman" w:hAnsi="Times New Roman"/>
                <w:b w:val="0"/>
                <w:i w:val="0"/>
                <w:sz w:val="14"/>
              </w:rPr>
              <w:t>Current, Voltage, Flux</w:t>
            </w:r>
          </w:p>
        </w:tc>
        <w:tc>
          <w:tcPr>
            <w:tcW w:type="dxa" w:w="2074"/>
            <w:vAlign w:val="center"/>
          </w:tcPr>
          <w:p>
            <w:r>
              <w:rPr>
                <w:rFonts w:ascii="Times New Roman" w:hAnsi="Times New Roman"/>
                <w:b w:val="0"/>
                <w:i w:val="0"/>
                <w:sz w:val="14"/>
              </w:rPr>
              <w:t>Electromechanical analytical review</w:t>
            </w:r>
          </w:p>
        </w:tc>
        <w:tc>
          <w:tcPr>
            <w:tcW w:type="dxa" w:w="2074"/>
            <w:vAlign w:val="center"/>
          </w:tcPr>
          <w:p>
            <w:r>
              <w:rPr>
                <w:rFonts w:ascii="Times New Roman" w:hAnsi="Times New Roman"/>
                <w:b w:val="0"/>
                <w:i w:val="0"/>
                <w:sz w:val="14"/>
              </w:rPr>
              <w:t>Categorizes machine electrical fault signatures</w:t>
            </w:r>
          </w:p>
        </w:tc>
        <w:tc>
          <w:tcPr>
            <w:tcW w:type="dxa" w:w="2074"/>
            <w:vAlign w:val="center"/>
          </w:tcPr>
          <w:p>
            <w:r>
              <w:rPr>
                <w:rFonts w:ascii="Times New Roman" w:hAnsi="Times New Roman"/>
                <w:b w:val="0"/>
                <w:i w:val="0"/>
                <w:sz w:val="14"/>
              </w:rPr>
              <w:t>Theoretical overview; no real-time SCADA digital twin prototype.</w:t>
            </w:r>
          </w:p>
        </w:tc>
      </w:tr>
      <w:tr>
        <w:trPr>
          <w:cantSplit/>
        </w:trPr>
        <w:tc>
          <w:tcPr>
            <w:tcW w:type="dxa" w:w="2074"/>
            <w:vAlign w:val="center"/>
          </w:tcPr>
          <w:p>
            <w:r>
              <w:rPr>
                <w:rFonts w:ascii="Times New Roman" w:hAnsi="Times New Roman"/>
                <w:b w:val="0"/>
                <w:i w:val="0"/>
                <w:sz w:val="14"/>
              </w:rPr>
              <w:t>Svanström et al. [4]</w:t>
            </w:r>
          </w:p>
        </w:tc>
        <w:tc>
          <w:tcPr>
            <w:tcW w:type="dxa" w:w="2074"/>
            <w:vAlign w:val="center"/>
          </w:tcPr>
          <w:p>
            <w:r>
              <w:rPr>
                <w:rFonts w:ascii="Times New Roman" w:hAnsi="Times New Roman"/>
                <w:b w:val="0"/>
                <w:i w:val="0"/>
                <w:sz w:val="14"/>
              </w:rPr>
              <w:t>Current, Vibration, Acoustic</w:t>
            </w:r>
          </w:p>
        </w:tc>
        <w:tc>
          <w:tcPr>
            <w:tcW w:type="dxa" w:w="2074"/>
            <w:vAlign w:val="center"/>
          </w:tcPr>
          <w:p>
            <w:r>
              <w:rPr>
                <w:rFonts w:ascii="Times New Roman" w:hAnsi="Times New Roman"/>
                <w:b w:val="0"/>
                <w:i w:val="0"/>
                <w:sz w:val="14"/>
              </w:rPr>
              <w:t>Rule-based multi-sensor thresholds</w:t>
            </w:r>
          </w:p>
        </w:tc>
        <w:tc>
          <w:tcPr>
            <w:tcW w:type="dxa" w:w="2074"/>
            <w:vAlign w:val="center"/>
          </w:tcPr>
          <w:p>
            <w:r>
              <w:rPr>
                <w:rFonts w:ascii="Times New Roman" w:hAnsi="Times New Roman"/>
                <w:b w:val="0"/>
                <w:i w:val="0"/>
                <w:sz w:val="14"/>
              </w:rPr>
              <w:t>Reduces false alarms versus single sensor</w:t>
            </w:r>
          </w:p>
        </w:tc>
        <w:tc>
          <w:tcPr>
            <w:tcW w:type="dxa" w:w="2074"/>
            <w:vAlign w:val="center"/>
          </w:tcPr>
          <w:p>
            <w:r>
              <w:rPr>
                <w:rFonts w:ascii="Times New Roman" w:hAnsi="Times New Roman"/>
                <w:b w:val="0"/>
                <w:i w:val="0"/>
                <w:sz w:val="14"/>
              </w:rPr>
              <w:t>Lacks dynamic decision threshold calibration and physical derating.</w:t>
            </w:r>
          </w:p>
        </w:tc>
      </w:tr>
      <w:tr>
        <w:trPr>
          <w:cantSplit/>
        </w:trPr>
        <w:tc>
          <w:tcPr>
            <w:tcW w:type="dxa" w:w="2074"/>
            <w:vAlign w:val="center"/>
          </w:tcPr>
          <w:p>
            <w:r>
              <w:rPr>
                <w:rFonts w:ascii="Times New Roman" w:hAnsi="Times New Roman"/>
                <w:b w:val="0"/>
                <w:i w:val="0"/>
                <w:sz w:val="14"/>
              </w:rPr>
              <w:t>Yuan et al. [5]</w:t>
            </w:r>
          </w:p>
        </w:tc>
        <w:tc>
          <w:tcPr>
            <w:tcW w:type="dxa" w:w="2074"/>
            <w:vAlign w:val="center"/>
          </w:tcPr>
          <w:p>
            <w:r>
              <w:rPr>
                <w:rFonts w:ascii="Times New Roman" w:hAnsi="Times New Roman"/>
                <w:b w:val="0"/>
                <w:i w:val="0"/>
                <w:sz w:val="14"/>
              </w:rPr>
              <w:t>Vibration, Temperature, Current</w:t>
            </w:r>
          </w:p>
        </w:tc>
        <w:tc>
          <w:tcPr>
            <w:tcW w:type="dxa" w:w="2074"/>
            <w:vAlign w:val="center"/>
          </w:tcPr>
          <w:p>
            <w:r>
              <w:rPr>
                <w:rFonts w:ascii="Times New Roman" w:hAnsi="Times New Roman"/>
                <w:b w:val="0"/>
                <w:i w:val="0"/>
                <w:sz w:val="14"/>
              </w:rPr>
              <w:t>Deep Neural Network Benchmark</w:t>
            </w:r>
          </w:p>
        </w:tc>
        <w:tc>
          <w:tcPr>
            <w:tcW w:type="dxa" w:w="2074"/>
            <w:vAlign w:val="center"/>
          </w:tcPr>
          <w:p>
            <w:r>
              <w:rPr>
                <w:rFonts w:ascii="Times New Roman" w:hAnsi="Times New Roman"/>
                <w:b w:val="0"/>
                <w:i w:val="0"/>
                <w:sz w:val="14"/>
              </w:rPr>
              <w:t>High laboratory classification accuracy</w:t>
            </w:r>
          </w:p>
        </w:tc>
        <w:tc>
          <w:tcPr>
            <w:tcW w:type="dxa" w:w="2074"/>
            <w:vAlign w:val="center"/>
          </w:tcPr>
          <w:p>
            <w:r>
              <w:rPr>
                <w:rFonts w:ascii="Times New Roman" w:hAnsi="Times New Roman"/>
                <w:b w:val="0"/>
                <w:i w:val="0"/>
                <w:sz w:val="14"/>
              </w:rPr>
              <w:t>Prohibitive compute overhead on edge PLCs; black-box opacity.</w:t>
            </w:r>
          </w:p>
        </w:tc>
      </w:tr>
      <w:tr>
        <w:trPr>
          <w:cantSplit/>
        </w:trPr>
        <w:tc>
          <w:tcPr>
            <w:tcW w:type="dxa" w:w="2074"/>
            <w:vAlign w:val="center"/>
          </w:tcPr>
          <w:p>
            <w:r>
              <w:rPr>
                <w:rFonts w:ascii="Times New Roman" w:hAnsi="Times New Roman"/>
                <w:b w:val="0"/>
                <w:i w:val="0"/>
                <w:sz w:val="14"/>
              </w:rPr>
              <w:t>Gao et al. [6]</w:t>
            </w:r>
          </w:p>
        </w:tc>
        <w:tc>
          <w:tcPr>
            <w:tcW w:type="dxa" w:w="2074"/>
            <w:vAlign w:val="center"/>
          </w:tcPr>
          <w:p>
            <w:r>
              <w:rPr>
                <w:rFonts w:ascii="Times New Roman" w:hAnsi="Times New Roman"/>
                <w:b w:val="0"/>
                <w:i w:val="0"/>
                <w:sz w:val="14"/>
              </w:rPr>
              <w:t>Multi-channel industrial telemetry</w:t>
            </w:r>
          </w:p>
        </w:tc>
        <w:tc>
          <w:tcPr>
            <w:tcW w:type="dxa" w:w="2074"/>
            <w:vAlign w:val="center"/>
          </w:tcPr>
          <w:p>
            <w:r>
              <w:rPr>
                <w:rFonts w:ascii="Times New Roman" w:hAnsi="Times New Roman"/>
                <w:b w:val="0"/>
                <w:i w:val="0"/>
                <w:sz w:val="14"/>
              </w:rPr>
              <w:t>Digital twin predictive framework</w:t>
            </w:r>
          </w:p>
        </w:tc>
        <w:tc>
          <w:tcPr>
            <w:tcW w:type="dxa" w:w="2074"/>
            <w:vAlign w:val="center"/>
          </w:tcPr>
          <w:p>
            <w:r>
              <w:rPr>
                <w:rFonts w:ascii="Times New Roman" w:hAnsi="Times New Roman"/>
                <w:b w:val="0"/>
                <w:i w:val="0"/>
                <w:sz w:val="14"/>
              </w:rPr>
              <w:t>Unified virtual modeling of equipment</w:t>
            </w:r>
          </w:p>
        </w:tc>
        <w:tc>
          <w:tcPr>
            <w:tcW w:type="dxa" w:w="2074"/>
            <w:vAlign w:val="center"/>
          </w:tcPr>
          <w:p>
            <w:r>
              <w:rPr>
                <w:rFonts w:ascii="Times New Roman" w:hAnsi="Times New Roman"/>
                <w:b w:val="0"/>
                <w:i w:val="0"/>
                <w:sz w:val="14"/>
              </w:rPr>
              <w:t>Assumes ideal sensor streams; lacks asymmetric failure cost weighting.</w:t>
            </w:r>
          </w:p>
        </w:tc>
      </w:tr>
      <w:tr>
        <w:trPr>
          <w:cantSplit/>
        </w:trPr>
        <w:tc>
          <w:tcPr>
            <w:tcW w:type="dxa" w:w="2074"/>
            <w:vAlign w:val="center"/>
          </w:tcPr>
          <w:p>
            <w:r>
              <w:rPr>
                <w:rFonts w:ascii="Times New Roman" w:hAnsi="Times New Roman"/>
                <w:b/>
                <w:i w:val="0"/>
                <w:sz w:val="14"/>
              </w:rPr>
              <w:t>Proposed Prototype</w:t>
            </w:r>
          </w:p>
        </w:tc>
        <w:tc>
          <w:tcPr>
            <w:tcW w:type="dxa" w:w="2074"/>
            <w:vAlign w:val="center"/>
          </w:tcPr>
          <w:p>
            <w:r>
              <w:rPr>
                <w:rFonts w:ascii="Times New Roman" w:hAnsi="Times New Roman"/>
                <w:b/>
                <w:i w:val="0"/>
                <w:sz w:val="14"/>
              </w:rPr>
              <w:t>3-Phase Current, Tri-Axial Vib, RTD</w:t>
            </w:r>
          </w:p>
        </w:tc>
        <w:tc>
          <w:tcPr>
            <w:tcW w:type="dxa" w:w="2074"/>
            <w:vAlign w:val="center"/>
          </w:tcPr>
          <w:p>
            <w:r>
              <w:rPr>
                <w:rFonts w:ascii="Times New Roman" w:hAnsi="Times New Roman"/>
                <w:b/>
                <w:i w:val="0"/>
                <w:sz w:val="14"/>
              </w:rPr>
              <w:t>Physics-Guided Dual-Stage Ensembles</w:t>
            </w:r>
          </w:p>
        </w:tc>
        <w:tc>
          <w:tcPr>
            <w:tcW w:type="dxa" w:w="2074"/>
            <w:vAlign w:val="center"/>
          </w:tcPr>
          <w:p>
            <w:r>
              <w:rPr>
                <w:rFonts w:ascii="Times New Roman" w:hAnsi="Times New Roman"/>
                <w:b/>
                <w:i w:val="0"/>
                <w:sz w:val="14"/>
              </w:rPr>
              <w:t>88.0% Failure Recall (θ=0.40), 91.43% Fault Acc.</w:t>
            </w:r>
          </w:p>
        </w:tc>
        <w:tc>
          <w:tcPr>
            <w:tcW w:type="dxa" w:w="2074"/>
            <w:vAlign w:val="center"/>
          </w:tcPr>
          <w:p>
            <w:r>
              <w:rPr>
                <w:rFonts w:ascii="Times New Roman" w:hAnsi="Times New Roman"/>
                <w:b/>
                <w:i w:val="0"/>
                <w:sz w:val="14"/>
              </w:rPr>
              <w:t>Evaluated on calibrated fleet simulator; ongoing field hardware test.</w:t>
            </w:r>
          </w:p>
        </w:tc>
      </w:tr>
    </w:tbl>
    <w:p>
      <w:pPr>
        <w:spacing w:after="80"/>
      </w:pPr>
    </w:p>
    <w:p>
      <w:pPr>
        <w:keepNext/>
        <w:spacing w:before="160" w:after="60" w:line="240" w:lineRule="auto"/>
        <w:jc w:val="center"/>
      </w:pPr>
      <w:r>
        <w:rPr>
          <w:rFonts w:ascii="Times New Roman" w:hAnsi="Times New Roman"/>
          <w:b/>
          <w:i w:val="0"/>
          <w:sz w:val="20"/>
        </w:rPr>
        <w:t>III. RESEARCH GAP</w:t>
      </w:r>
    </w:p>
    <w:p>
      <w:pPr>
        <w:spacing w:after="70" w:line="240" w:lineRule="auto"/>
        <w:ind w:firstLine="200"/>
        <w:jc w:val="both"/>
      </w:pPr>
      <w:r>
        <w:rPr>
          <w:rFonts w:ascii="Times New Roman" w:hAnsi="Times New Roman"/>
          <w:b w:val="0"/>
          <w:i w:val="0"/>
          <w:sz w:val="19"/>
        </w:rPr>
        <w:t>Research on induction motor condition monitoring has evolved from localized threshold trips to multi-sensor data-driven systems [6][7]. However, multiple operational bottlenecks persist in practical plant deployments.</w:t>
      </w:r>
    </w:p>
    <w:p>
      <w:pPr>
        <w:keepNext/>
        <w:spacing w:before="120" w:after="40" w:line="240" w:lineRule="auto"/>
      </w:pPr>
      <w:r>
        <w:rPr>
          <w:rFonts w:ascii="Times New Roman" w:hAnsi="Times New Roman"/>
          <w:b/>
          <w:i/>
          <w:sz w:val="19"/>
        </w:rPr>
        <w:t>A. Identified Research Gap</w:t>
      </w:r>
    </w:p>
    <w:p>
      <w:pPr>
        <w:keepNext/>
        <w:spacing w:before="80" w:after="20" w:line="240" w:lineRule="auto"/>
      </w:pPr>
      <w:r>
        <w:rPr>
          <w:rFonts w:ascii="Times New Roman" w:hAnsi="Times New Roman"/>
          <w:b w:val="0"/>
          <w:i/>
          <w:sz w:val="18"/>
        </w:rPr>
        <w:t xml:space="preserve">1) Lack of Dynamic Electromechanical Cross-Validation: </w:t>
      </w:r>
    </w:p>
    <w:p>
      <w:pPr>
        <w:spacing w:after="70" w:line="240" w:lineRule="auto"/>
        <w:ind w:firstLine="200"/>
        <w:jc w:val="both"/>
      </w:pPr>
      <w:r>
        <w:rPr>
          <w:rFonts w:ascii="Times New Roman" w:hAnsi="Times New Roman"/>
          <w:b w:val="0"/>
          <w:i w:val="0"/>
          <w:sz w:val="19"/>
        </w:rPr>
        <w:t>Existing multi-sensor frameworks [4][6] either apply static equal weights or rely purely on statistical variance, failing to validate sensor readings against first-principles electromechanical equations (such as Kloss breakdown torque envelopes and fractional slip constraints). Consequently, sensor drift under dynamic load variations is easily misdiagnosed as catastrophic asset failure [7].</w:t>
      </w:r>
    </w:p>
    <w:p>
      <w:pPr>
        <w:keepNext/>
        <w:spacing w:before="80" w:after="20" w:line="240" w:lineRule="auto"/>
      </w:pPr>
      <w:r>
        <w:rPr>
          <w:rFonts w:ascii="Times New Roman" w:hAnsi="Times New Roman"/>
          <w:b w:val="0"/>
          <w:i/>
          <w:sz w:val="18"/>
        </w:rPr>
        <w:t xml:space="preserve">2) High Complexity of Deep Learning on Factory Edge Controllers: </w:t>
      </w:r>
    </w:p>
    <w:p>
      <w:pPr>
        <w:spacing w:after="70" w:line="240" w:lineRule="auto"/>
        <w:ind w:firstLine="200"/>
        <w:jc w:val="both"/>
      </w:pPr>
      <w:r>
        <w:rPr>
          <w:rFonts w:ascii="Times New Roman" w:hAnsi="Times New Roman"/>
          <w:b w:val="0"/>
          <w:i w:val="0"/>
          <w:sz w:val="19"/>
        </w:rPr>
        <w:t>Recent evidence-based deep learning and recurrent networks [5][7] introduce severe computational burdens that prevent real-time deterministic execution on legacy factory programmable logic controllers (PLCs) and low-power microcontrollers operating with tight sub-100 ms scan cycles.</w:t>
      </w:r>
    </w:p>
    <w:p>
      <w:pPr>
        <w:keepNext/>
        <w:spacing w:before="80" w:after="20" w:line="240" w:lineRule="auto"/>
      </w:pPr>
      <w:r>
        <w:rPr>
          <w:rFonts w:ascii="Times New Roman" w:hAnsi="Times New Roman"/>
          <w:b w:val="0"/>
          <w:i/>
          <w:sz w:val="18"/>
        </w:rPr>
        <w:t xml:space="preserve">3) Absence of Prescriptive SCADA Prototypes: </w:t>
      </w:r>
    </w:p>
    <w:p>
      <w:pPr>
        <w:spacing w:after="70" w:line="240" w:lineRule="auto"/>
        <w:ind w:firstLine="200"/>
        <w:jc w:val="both"/>
      </w:pPr>
      <w:r>
        <w:rPr>
          <w:rFonts w:ascii="Times New Roman" w:hAnsi="Times New Roman"/>
          <w:b w:val="0"/>
          <w:i w:val="0"/>
          <w:sz w:val="19"/>
        </w:rPr>
        <w:t>While prior literature provides theoretical taxonomy [1] and isolated classification benchmarks [5], there is a notable absence of lightweight, deployable digital twin software equipped with real-time SCADA dashboards that translate raw machine learning inference into prescriptive Standard Operating Procedures (SOPs) for maintenance technicians.</w:t>
      </w:r>
    </w:p>
    <w:p>
      <w:pPr>
        <w:keepNext/>
        <w:spacing w:before="120" w:after="40" w:line="240" w:lineRule="auto"/>
      </w:pPr>
      <w:r>
        <w:rPr>
          <w:rFonts w:ascii="Times New Roman" w:hAnsi="Times New Roman"/>
          <w:b/>
          <w:i/>
          <w:sz w:val="19"/>
        </w:rPr>
        <w:t>B. Research Questions</w:t>
      </w:r>
    </w:p>
    <w:p>
      <w:pPr>
        <w:spacing w:after="70" w:line="240" w:lineRule="auto"/>
        <w:jc w:val="both"/>
      </w:pPr>
      <w:r>
        <w:rPr>
          <w:rFonts w:ascii="Times New Roman" w:hAnsi="Times New Roman"/>
          <w:b w:val="0"/>
          <w:i w:val="0"/>
          <w:sz w:val="19"/>
        </w:rPr>
        <w:t>1) RQ1: How do variable mechanical load swings and supply line voltage imbalances affect individual current, vibration, and thermal sensors in induction machines?</w:t>
      </w:r>
    </w:p>
    <w:p>
      <w:pPr>
        <w:spacing w:after="70" w:line="240" w:lineRule="auto"/>
        <w:jc w:val="both"/>
      </w:pPr>
      <w:r>
        <w:rPr>
          <w:rFonts w:ascii="Times New Roman" w:hAnsi="Times New Roman"/>
          <w:b w:val="0"/>
          <w:i w:val="0"/>
          <w:sz w:val="19"/>
        </w:rPr>
        <w:t>2) RQ2: Can electromechanical governing laws (Kloss torque formulation and MCSA slip sidebands) dynamically validate sensor reliability in real time?</w:t>
      </w:r>
    </w:p>
    <w:p>
      <w:pPr>
        <w:spacing w:after="70" w:line="240" w:lineRule="auto"/>
        <w:jc w:val="both"/>
      </w:pPr>
      <w:r>
        <w:rPr>
          <w:rFonts w:ascii="Times New Roman" w:hAnsi="Times New Roman"/>
          <w:b w:val="0"/>
          <w:i w:val="0"/>
          <w:sz w:val="19"/>
        </w:rPr>
        <w:t>3) RQ3: Does decision-threshold calibrated ensemble fusion outperform conventional static threshold tripping under asymmetric industrial failure cost matrices?</w:t>
      </w:r>
    </w:p>
    <w:p>
      <w:pPr>
        <w:keepNext/>
        <w:spacing w:before="120" w:after="40" w:line="240" w:lineRule="auto"/>
      </w:pPr>
      <w:r>
        <w:rPr>
          <w:rFonts w:ascii="Times New Roman" w:hAnsi="Times New Roman"/>
          <w:b/>
          <w:i/>
          <w:sz w:val="19"/>
        </w:rPr>
        <w:t>C. Research Objectives</w:t>
      </w:r>
    </w:p>
    <w:p>
      <w:pPr>
        <w:spacing w:after="70" w:line="240" w:lineRule="auto"/>
        <w:jc w:val="both"/>
      </w:pPr>
      <w:r>
        <w:rPr>
          <w:rFonts w:ascii="Times New Roman" w:hAnsi="Times New Roman"/>
          <w:b w:val="0"/>
          <w:i w:val="0"/>
          <w:sz w:val="19"/>
        </w:rPr>
        <w:t>1) Analyze Sensor Limits: Formulate the operating boundaries of current, vibration, and thermal sensing under multi-machine industrial drive conditions.</w:t>
      </w:r>
    </w:p>
    <w:p>
      <w:pPr>
        <w:spacing w:after="70" w:line="240" w:lineRule="auto"/>
        <w:jc w:val="both"/>
      </w:pPr>
      <w:r>
        <w:rPr>
          <w:rFonts w:ascii="Times New Roman" w:hAnsi="Times New Roman"/>
          <w:b w:val="0"/>
          <w:i w:val="0"/>
          <w:sz w:val="19"/>
        </w:rPr>
        <w:t>2) Formulate Physics-Guided Diagnostic Models: Develop analytical expressions for fractional slip, Kloss torque envelopes, MCSA sidebands, and Arrhenius insulation lifespan.</w:t>
      </w:r>
    </w:p>
    <w:p>
      <w:pPr>
        <w:spacing w:after="70" w:line="240" w:lineRule="auto"/>
        <w:jc w:val="both"/>
      </w:pPr>
      <w:r>
        <w:rPr>
          <w:rFonts w:ascii="Times New Roman" w:hAnsi="Times New Roman"/>
          <w:b w:val="0"/>
          <w:i w:val="0"/>
          <w:sz w:val="19"/>
        </w:rPr>
        <w:t>3) Implement Decision-Calibrated Multi-Class Ensembles: Optimize classification decision boundaries (θ = 0.40) to prioritize operational recall for high-consequence failure modes.</w:t>
      </w:r>
    </w:p>
    <w:p>
      <w:pPr>
        <w:spacing w:after="70" w:line="240" w:lineRule="auto"/>
        <w:jc w:val="both"/>
      </w:pPr>
      <w:r>
        <w:rPr>
          <w:rFonts w:ascii="Times New Roman" w:hAnsi="Times New Roman"/>
          <w:b w:val="0"/>
          <w:i w:val="0"/>
          <w:sz w:val="19"/>
        </w:rPr>
        <w:t>4) Build and Evaluate SCADA Prototype: Develop a full-stack digital twin cockpit in Python, Streamlit, and SQLite to validate the architecture under multi-fault degradation.</w:t>
      </w:r>
    </w:p>
    <w:p>
      <w:pPr>
        <w:keepNext/>
        <w:spacing w:before="160" w:after="60" w:line="240" w:lineRule="auto"/>
        <w:jc w:val="center"/>
      </w:pPr>
      <w:r>
        <w:rPr>
          <w:rFonts w:ascii="Times New Roman" w:hAnsi="Times New Roman"/>
          <w:b/>
          <w:i w:val="0"/>
          <w:sz w:val="20"/>
        </w:rPr>
        <w:t>IV. METHODOLOGY</w:t>
      </w:r>
    </w:p>
    <w:p>
      <w:pPr>
        <w:spacing w:after="70" w:line="240" w:lineRule="auto"/>
        <w:ind w:firstLine="200"/>
        <w:jc w:val="both"/>
      </w:pPr>
      <w:r>
        <w:rPr>
          <w:rFonts w:ascii="Times New Roman" w:hAnsi="Times New Roman"/>
          <w:b w:val="0"/>
          <w:i w:val="0"/>
          <w:sz w:val="19"/>
        </w:rPr>
        <w:t>The proposed framework couples first-principles electromechanical formulations with ensemble machine learning to monitor induction motor health. Unlike prior black-box approaches [4][6], the digital twin evaluates real-time telemetry against analytical kinematic boundaries, mitigating false alarms and isolating failure root causes [7].</w:t>
      </w:r>
    </w:p>
    <w:p>
      <w:pPr>
        <w:keepNext/>
        <w:spacing w:before="120" w:after="40" w:line="240" w:lineRule="auto"/>
      </w:pPr>
      <w:r>
        <w:rPr>
          <w:rFonts w:ascii="Times New Roman" w:hAnsi="Times New Roman"/>
          <w:b/>
          <w:i/>
          <w:sz w:val="19"/>
        </w:rPr>
        <w:t>A. Processing Pipeline</w:t>
      </w:r>
    </w:p>
    <w:p>
      <w:pPr>
        <w:spacing w:after="70" w:line="240" w:lineRule="auto"/>
        <w:jc w:val="both"/>
      </w:pPr>
      <w:r>
        <w:rPr>
          <w:rFonts w:ascii="Times New Roman" w:hAnsi="Times New Roman"/>
          <w:b w:val="0"/>
          <w:i w:val="0"/>
          <w:sz w:val="19"/>
        </w:rPr>
        <w:t>1) Telemetry Ingestion: Continuously ingests 3-phase currents (IR, IY, IB), broadband vibration velocity (v_rms), rotor speed (Nr), stator winding temperature (Ts), and differential cooling pressure [1][5].</w:t>
      </w:r>
    </w:p>
    <w:p>
      <w:pPr>
        <w:spacing w:after="70" w:line="240" w:lineRule="auto"/>
        <w:jc w:val="both"/>
      </w:pPr>
      <w:r>
        <w:rPr>
          <w:rFonts w:ascii="Times New Roman" w:hAnsi="Times New Roman"/>
          <w:b w:val="0"/>
          <w:i w:val="0"/>
          <w:sz w:val="19"/>
        </w:rPr>
        <w:t>2) Physics &amp; Kinematics Computation: Computes fractional slip s, IEC current unbalance percentage, and Kloss torque envelope in real time.</w:t>
      </w:r>
    </w:p>
    <w:p>
      <w:pPr>
        <w:spacing w:after="70" w:line="240" w:lineRule="auto"/>
        <w:jc w:val="both"/>
      </w:pPr>
      <w:r>
        <w:rPr>
          <w:rFonts w:ascii="Times New Roman" w:hAnsi="Times New Roman"/>
          <w:b w:val="0"/>
          <w:i w:val="0"/>
          <w:sz w:val="19"/>
        </w:rPr>
        <w:t>3) Decision-Calibrated Inference: Evaluates binary failure trip probability using an optimized threshold (θ = 0.40) and executes 7-class fault localization.</w:t>
      </w:r>
    </w:p>
    <w:p>
      <w:pPr>
        <w:spacing w:after="70" w:line="240" w:lineRule="auto"/>
        <w:jc w:val="both"/>
      </w:pPr>
      <w:r>
        <w:rPr>
          <w:rFonts w:ascii="Times New Roman" w:hAnsi="Times New Roman"/>
          <w:b w:val="0"/>
          <w:i w:val="0"/>
          <w:sz w:val="19"/>
        </w:rPr>
        <w:t>4) Prescriptive Dispatch &amp; Logging: Logs inference telemetry into an SQLite database and generates standardized engineering SOPs in the SCADA digital twin.</w:t>
      </w:r>
    </w:p>
    <w:p>
      <w:pPr>
        <w:keepNext/>
        <w:spacing w:before="120" w:after="40" w:line="240" w:lineRule="auto"/>
      </w:pPr>
      <w:r>
        <w:rPr>
          <w:rFonts w:ascii="Times New Roman" w:hAnsi="Times New Roman"/>
          <w:b/>
          <w:i/>
          <w:sz w:val="19"/>
        </w:rPr>
        <w:t>B. Mathematical Formulations</w:t>
      </w:r>
    </w:p>
    <w:p>
      <w:pPr>
        <w:spacing w:after="70" w:line="240" w:lineRule="auto"/>
        <w:ind w:firstLine="200"/>
        <w:jc w:val="both"/>
      </w:pPr>
      <w:r>
        <w:rPr>
          <w:rFonts w:ascii="Times New Roman" w:hAnsi="Times New Roman"/>
          <w:b w:val="0"/>
          <w:i w:val="0"/>
          <w:sz w:val="19"/>
        </w:rPr>
        <w:t>1) Rotor Slip Kinematics:</w:t>
      </w:r>
    </w:p>
    <w:p>
      <w:pPr>
        <w:spacing w:before="40" w:after="60"/>
        <w:jc w:val="center"/>
      </w:pPr>
      <w:r>
        <w:rPr>
          <w:rFonts w:ascii="Cambria Math" w:hAnsi="Cambria Math"/>
          <w:b/>
          <w:i/>
          <w:sz w:val="19"/>
        </w:rPr>
        <w:t>s = (Ns - Nr) / Ns,   where Ns = (120 · fs) / P</w:t>
      </w:r>
    </w:p>
    <w:p>
      <w:pPr>
        <w:spacing w:after="70" w:line="240" w:lineRule="auto"/>
        <w:ind w:firstLine="200"/>
        <w:jc w:val="both"/>
      </w:pPr>
      <w:r>
        <w:rPr>
          <w:rFonts w:ascii="Times New Roman" w:hAnsi="Times New Roman"/>
          <w:b w:val="0"/>
          <w:i w:val="0"/>
          <w:sz w:val="19"/>
        </w:rPr>
        <w:t>2) Kloss Speed-Torque Model:</w:t>
      </w:r>
    </w:p>
    <w:p>
      <w:pPr>
        <w:spacing w:before="40" w:after="60"/>
        <w:jc w:val="center"/>
      </w:pPr>
      <w:r>
        <w:rPr>
          <w:rFonts w:ascii="Cambria Math" w:hAnsi="Cambria Math"/>
          <w:b/>
          <w:i/>
          <w:sz w:val="19"/>
        </w:rPr>
        <w:t>Te(s) = (2 · Tmax) / (s/smax + smax/s)</w:t>
      </w:r>
    </w:p>
    <w:p>
      <w:pPr>
        <w:spacing w:after="70" w:line="240" w:lineRule="auto"/>
        <w:ind w:firstLine="200"/>
        <w:jc w:val="both"/>
      </w:pPr>
      <w:r>
        <w:rPr>
          <w:rFonts w:ascii="Times New Roman" w:hAnsi="Times New Roman"/>
          <w:b w:val="0"/>
          <w:i w:val="0"/>
          <w:sz w:val="19"/>
        </w:rPr>
        <w:t>3) MCSA Broken Rotor Bar Sideband Spectrum:</w:t>
      </w:r>
    </w:p>
    <w:p>
      <w:pPr>
        <w:spacing w:before="40" w:after="60"/>
        <w:jc w:val="center"/>
      </w:pPr>
      <w:r>
        <w:rPr>
          <w:rFonts w:ascii="Cambria Math" w:hAnsi="Cambria Math"/>
          <w:b/>
          <w:i/>
          <w:sz w:val="19"/>
        </w:rPr>
        <w:t>f_brb = (1 ± 2s) · fs</w:t>
      </w:r>
    </w:p>
    <w:p>
      <w:pPr>
        <w:spacing w:after="70" w:line="240" w:lineRule="auto"/>
        <w:ind w:firstLine="200"/>
        <w:jc w:val="both"/>
      </w:pPr>
      <w:r>
        <w:rPr>
          <w:rFonts w:ascii="Times New Roman" w:hAnsi="Times New Roman"/>
          <w:b w:val="0"/>
          <w:i w:val="0"/>
          <w:sz w:val="19"/>
        </w:rPr>
        <w:t>4) IEC Current Unbalance Ratio:</w:t>
      </w:r>
    </w:p>
    <w:p>
      <w:pPr>
        <w:spacing w:before="40" w:after="60"/>
        <w:jc w:val="center"/>
      </w:pPr>
      <w:r>
        <w:rPr>
          <w:rFonts w:ascii="Cambria Math" w:hAnsi="Cambria Math"/>
          <w:b/>
          <w:i/>
          <w:sz w:val="19"/>
        </w:rPr>
        <w:t>I_unbal = (max(|IR - Iavg|, |IY - Iavg|, |IB - Iavg|) / Iavg) · 100%</w:t>
      </w:r>
    </w:p>
    <w:p>
      <w:pPr>
        <w:spacing w:after="70" w:line="240" w:lineRule="auto"/>
        <w:ind w:firstLine="200"/>
        <w:jc w:val="both"/>
      </w:pPr>
      <w:r>
        <w:rPr>
          <w:rFonts w:ascii="Times New Roman" w:hAnsi="Times New Roman"/>
          <w:b w:val="0"/>
          <w:i w:val="0"/>
          <w:sz w:val="19"/>
        </w:rPr>
        <w:t>5) Arrhenius Insulation Thermal Aging Half-Life:</w:t>
      </w:r>
    </w:p>
    <w:p>
      <w:pPr>
        <w:spacing w:before="40" w:after="60"/>
        <w:jc w:val="center"/>
      </w:pPr>
      <w:r>
        <w:rPr>
          <w:rFonts w:ascii="Cambria Math" w:hAnsi="Cambria Math"/>
          <w:b/>
          <w:i/>
          <w:sz w:val="19"/>
        </w:rPr>
        <w:t>L = L0 · 2^((T_rated - T_stator) / 10)</w:t>
      </w:r>
    </w:p>
    <w:p>
      <w:pPr>
        <w:spacing w:before="100" w:after="40"/>
        <w:jc w:val="center"/>
      </w:pPr>
      <w:r>
        <w:drawing>
          <wp:inline xmlns:a="http://schemas.openxmlformats.org/drawingml/2006/main" xmlns:pic="http://schemas.openxmlformats.org/drawingml/2006/picture">
            <wp:extent cx="3017520" cy="1949782"/>
            <wp:docPr id="1" name="Picture 1"/>
            <wp:cNvGraphicFramePr>
              <a:graphicFrameLocks noChangeAspect="1"/>
            </wp:cNvGraphicFramePr>
            <a:graphic>
              <a:graphicData uri="http://schemas.openxmlformats.org/drawingml/2006/picture">
                <pic:pic>
                  <pic:nvPicPr>
                    <pic:cNvPr id="0" name="fig_torque_speed.png"/>
                    <pic:cNvPicPr/>
                  </pic:nvPicPr>
                  <pic:blipFill>
                    <a:blip r:embed="rId9"/>
                    <a:stretch>
                      <a:fillRect/>
                    </a:stretch>
                  </pic:blipFill>
                  <pic:spPr>
                    <a:xfrm>
                      <a:off x="0" y="0"/>
                      <a:ext cx="3017520" cy="1949782"/>
                    </a:xfrm>
                    <a:prstGeom prst="rect"/>
                  </pic:spPr>
                </pic:pic>
              </a:graphicData>
            </a:graphic>
          </wp:inline>
        </w:drawing>
      </w:r>
    </w:p>
    <w:p>
      <w:pPr>
        <w:spacing w:after="100"/>
        <w:jc w:val="center"/>
      </w:pPr>
      <w:r>
        <w:rPr>
          <w:rFonts w:ascii="Times New Roman" w:hAnsi="Times New Roman"/>
          <w:b/>
          <w:i w:val="0"/>
          <w:sz w:val="16"/>
        </w:rPr>
        <w:t>Fig. 1. Physics-grounded Kloss Torque-Speed characteristic envelope illustrating nominal operation, breakdown torque limit (Tmax), and fault-induced electromechanical derating under stator turn-to-turn short circuit.</w:t>
      </w:r>
    </w:p>
    <w:p>
      <w:pPr>
        <w:keepNext/>
        <w:spacing w:before="120" w:after="40" w:line="240" w:lineRule="auto"/>
      </w:pPr>
      <w:r>
        <w:rPr>
          <w:rFonts w:ascii="Times New Roman" w:hAnsi="Times New Roman"/>
          <w:b/>
          <w:i/>
          <w:sz w:val="19"/>
        </w:rPr>
        <w:t>C. Decision-Calibrated Inference Algorithm</w:t>
      </w:r>
    </w:p>
    <w:p>
      <w:pPr>
        <w:spacing w:after="70" w:line="240" w:lineRule="auto"/>
        <w:ind w:firstLine="200"/>
        <w:jc w:val="both"/>
      </w:pPr>
      <w:r>
        <w:rPr>
          <w:rFonts w:ascii="Times New Roman" w:hAnsi="Times New Roman"/>
          <w:b w:val="0"/>
          <w:i w:val="0"/>
          <w:sz w:val="19"/>
        </w:rPr>
        <w:t>To account for the severe asymmetry of industrial failure costs (where unpredicted motor seizure incurs catastrophic downtime compared to a brief inspection), the decision boundary θ is tuned to maximize operational recall. The Motor Health Index (MHI) is formulated as:</w:t>
      </w:r>
    </w:p>
    <w:p>
      <w:pPr>
        <w:spacing w:before="40" w:after="60"/>
        <w:jc w:val="center"/>
      </w:pPr>
      <w:r>
        <w:rPr>
          <w:rFonts w:ascii="Cambria Math" w:hAnsi="Cambria Math"/>
          <w:b/>
          <w:i/>
          <w:sz w:val="19"/>
        </w:rPr>
        <w:t>MHI = max(0, 100 - P_fail · 100)</w:t>
      </w:r>
    </w:p>
    <w:p>
      <w:pPr>
        <w:spacing w:after="70" w:line="240" w:lineRule="auto"/>
        <w:ind w:firstLine="200"/>
        <w:jc w:val="both"/>
      </w:pPr>
      <w:r>
        <w:rPr>
          <w:rFonts w:ascii="Times New Roman" w:hAnsi="Times New Roman"/>
          <w:b w:val="0"/>
          <w:i w:val="0"/>
          <w:sz w:val="19"/>
        </w:rPr>
        <w:t>When P_fail ≥ 0.40 or vibration velocity exceeds ISO 10816-3 Zone D (v_rms ≥ 4.5 mm/s), the system triggers an emergency TRIP command and dispatches prescriptive work orders.</w:t>
      </w:r>
    </w:p>
    <w:p>
      <w:pPr>
        <w:keepNext/>
        <w:spacing w:before="160" w:after="60" w:line="240" w:lineRule="auto"/>
        <w:jc w:val="center"/>
      </w:pPr>
      <w:r>
        <w:rPr>
          <w:rFonts w:ascii="Times New Roman" w:hAnsi="Times New Roman"/>
          <w:b/>
          <w:i w:val="0"/>
          <w:sz w:val="20"/>
        </w:rPr>
        <w:t>V. IMPLEMENTATION</w:t>
      </w:r>
    </w:p>
    <w:p>
      <w:pPr>
        <w:keepNext/>
        <w:spacing w:before="120" w:after="40" w:line="240" w:lineRule="auto"/>
      </w:pPr>
      <w:r>
        <w:rPr>
          <w:rFonts w:ascii="Times New Roman" w:hAnsi="Times New Roman"/>
          <w:b/>
          <w:i/>
          <w:sz w:val="19"/>
        </w:rPr>
        <w:t>A. System Architecture &amp; Software Modules</w:t>
      </w:r>
    </w:p>
    <w:p>
      <w:pPr>
        <w:spacing w:after="70" w:line="240" w:lineRule="auto"/>
        <w:ind w:firstLine="200"/>
        <w:jc w:val="both"/>
      </w:pPr>
      <w:r>
        <w:rPr>
          <w:rFonts w:ascii="Times New Roman" w:hAnsi="Times New Roman"/>
          <w:b w:val="0"/>
          <w:i w:val="0"/>
          <w:sz w:val="19"/>
        </w:rPr>
        <w:t>1) Core Diagnostic ML Engine (train_model.py, train_component_fault_model.py): Implements calibrated Random Forest classifiers (300 estimators) for binary failure prediction and 7-class fault mode localization.</w:t>
        <w:br/>
        <w:t>2) Telemetry Simulator (generate_data.py): Physics-informed generator synthesizing multi-motor telemetry across seven industrial drive ratings (7.5 kW to 45 kW).</w:t>
        <w:br/>
        <w:t>3) Backend Storage &amp; Database (database.py): SQLite database (pump_data.db) logging historical sensor timestamps, telemetry metrics, and alarm events.</w:t>
        <w:br/>
        <w:t>4) Web SCADA Cockpit (app.py): Interactive digital twin interface built with Streamlit and Plotly, displaying 3-phase current oscilloscopes, torque curves, and prescriptive work orders.</w:t>
      </w:r>
    </w:p>
    <w:p>
      <w:pPr>
        <w:keepNext/>
        <w:spacing w:before="120" w:after="40" w:line="240" w:lineRule="auto"/>
      </w:pPr>
      <w:r>
        <w:rPr>
          <w:rFonts w:ascii="Times New Roman" w:hAnsi="Times New Roman"/>
          <w:b/>
          <w:i/>
          <w:sz w:val="19"/>
        </w:rPr>
        <w:t>B. Execution Workflow</w:t>
      </w:r>
    </w:p>
    <w:p>
      <w:pPr>
        <w:spacing w:after="70" w:line="240" w:lineRule="auto"/>
        <w:ind w:firstLine="200"/>
        <w:jc w:val="both"/>
      </w:pPr>
      <w:r>
        <w:rPr>
          <w:rFonts w:ascii="Times New Roman" w:hAnsi="Times New Roman"/>
          <w:b w:val="0"/>
          <w:i w:val="0"/>
          <w:sz w:val="19"/>
        </w:rPr>
        <w:t>1) Telemetry Ingestion: Captures multi-sensor streams across the fleet testbed.</w:t>
        <w:br/>
        <w:t>2) Kinematics Evaluation: Validates torque, current unbalance, and vibration crest factor.</w:t>
        <w:br/>
        <w:t>3) Fault Injection: Simulates failure states (e.g., stator inter-turn shorts, broken rotor bars, bearing spalling).</w:t>
        <w:br/>
        <w:t>4) Prescriptive Dispatch: Outputs automated engineering SOPs to plant operators.</w:t>
      </w:r>
    </w:p>
    <w:p>
      <w:pPr>
        <w:spacing w:before="100" w:after="40"/>
        <w:jc w:val="center"/>
      </w:pPr>
      <w:r>
        <w:drawing>
          <wp:inline xmlns:a="http://schemas.openxmlformats.org/drawingml/2006/main" xmlns:pic="http://schemas.openxmlformats.org/drawingml/2006/picture">
            <wp:extent cx="3017520" cy="1146658"/>
            <wp:docPr id="2" name="Picture 2"/>
            <wp:cNvGraphicFramePr>
              <a:graphicFrameLocks noChangeAspect="1"/>
            </wp:cNvGraphicFramePr>
            <a:graphic>
              <a:graphicData uri="http://schemas.openxmlformats.org/drawingml/2006/picture">
                <pic:pic>
                  <pic:nvPicPr>
                    <pic:cNvPr id="0" name="fig_mcsa_oscilloscope.png"/>
                    <pic:cNvPicPr/>
                  </pic:nvPicPr>
                  <pic:blipFill>
                    <a:blip r:embed="rId10"/>
                    <a:stretch>
                      <a:fillRect/>
                    </a:stretch>
                  </pic:blipFill>
                  <pic:spPr>
                    <a:xfrm>
                      <a:off x="0" y="0"/>
                      <a:ext cx="3017520" cy="1146658"/>
                    </a:xfrm>
                    <a:prstGeom prst="rect"/>
                  </pic:spPr>
                </pic:pic>
              </a:graphicData>
            </a:graphic>
          </wp:inline>
        </w:drawing>
      </w:r>
    </w:p>
    <w:p>
      <w:pPr>
        <w:spacing w:after="100"/>
        <w:jc w:val="center"/>
      </w:pPr>
      <w:r>
        <w:rPr>
          <w:rFonts w:ascii="Times New Roman" w:hAnsi="Times New Roman"/>
          <w:b/>
          <w:i w:val="0"/>
          <w:sz w:val="16"/>
        </w:rPr>
        <w:t>Fig. 2. Stator electrical signatures: (a) Time-domain 3-phase instantaneous currents displaying phase unbalance under stator winding inter-turn degradation; (b) Motor Current Signature Analysis (MCSA) frequency spectrum exhibiting (1 ± 2s)fs diagnostic sideband peaks characteristic of broken rotor bars.</w:t>
      </w:r>
    </w:p>
    <w:p>
      <w:pPr>
        <w:keepNext/>
        <w:spacing w:before="160" w:after="60" w:line="240" w:lineRule="auto"/>
        <w:jc w:val="center"/>
      </w:pPr>
      <w:r>
        <w:rPr>
          <w:rFonts w:ascii="Times New Roman" w:hAnsi="Times New Roman"/>
          <w:b/>
          <w:i w:val="0"/>
          <w:sz w:val="20"/>
        </w:rPr>
        <w:t>VI. RESULTS &amp; DISCUSSION</w:t>
      </w:r>
    </w:p>
    <w:p>
      <w:pPr>
        <w:keepNext/>
        <w:spacing w:before="120" w:after="40" w:line="240" w:lineRule="auto"/>
      </w:pPr>
      <w:r>
        <w:rPr>
          <w:rFonts w:ascii="Times New Roman" w:hAnsi="Times New Roman"/>
          <w:b/>
          <w:i/>
          <w:sz w:val="19"/>
        </w:rPr>
        <w:t>A. Simulated Test Scenarios and Unit Test Results</w:t>
      </w:r>
    </w:p>
    <w:p>
      <w:pPr>
        <w:jc w:val="center"/>
      </w:pPr>
      <w:r>
        <w:rPr>
          <w:rFonts w:ascii="Times New Roman" w:hAnsi="Times New Roman"/>
          <w:b/>
          <w:i w:val="0"/>
          <w:sz w:val="16"/>
        </w:rPr>
        <w:t>TABLE II. EXPERIMENTAL UNIT TEST SCENARIOS AND OUTPUT VALIDATION</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val="clear" w:color="auto" w:fill="EAEEF3"/>
          </w:tcPr>
          <w:p>
            <w:r>
              <w:rPr>
                <w:rFonts w:ascii="Times New Roman" w:hAnsi="Times New Roman"/>
                <w:b/>
                <w:i w:val="0"/>
                <w:sz w:val="15"/>
              </w:rPr>
              <w:t>Test Scenario</w:t>
            </w:r>
          </w:p>
        </w:tc>
        <w:tc>
          <w:tcPr>
            <w:tcW w:type="dxa" w:w="2592"/>
            <w:vAlign w:val="center"/>
            <w:shd w:val="clear" w:color="auto" w:fill="EAEEF3"/>
          </w:tcPr>
          <w:p>
            <w:r>
              <w:rPr>
                <w:rFonts w:ascii="Times New Roman" w:hAnsi="Times New Roman"/>
                <w:b/>
                <w:i w:val="0"/>
                <w:sz w:val="15"/>
              </w:rPr>
              <w:t>Input Telemetry Parameters</w:t>
            </w:r>
          </w:p>
        </w:tc>
        <w:tc>
          <w:tcPr>
            <w:tcW w:type="dxa" w:w="2592"/>
            <w:vAlign w:val="center"/>
            <w:shd w:val="clear" w:color="auto" w:fill="EAEEF3"/>
          </w:tcPr>
          <w:p>
            <w:r>
              <w:rPr>
                <w:rFonts w:ascii="Times New Roman" w:hAnsi="Times New Roman"/>
                <w:b/>
                <w:i w:val="0"/>
                <w:sz w:val="15"/>
              </w:rPr>
              <w:t>Output Predictions</w:t>
            </w:r>
          </w:p>
        </w:tc>
        <w:tc>
          <w:tcPr>
            <w:tcW w:type="dxa" w:w="2592"/>
            <w:vAlign w:val="center"/>
            <w:shd w:val="clear" w:color="auto" w:fill="EAEEF3"/>
          </w:tcPr>
          <w:p>
            <w:r>
              <w:rPr>
                <w:rFonts w:ascii="Times New Roman" w:hAnsi="Times New Roman"/>
                <w:b/>
                <w:i w:val="0"/>
                <w:sz w:val="15"/>
              </w:rPr>
              <w:t>Diagnostic Interpretation</w:t>
            </w:r>
          </w:p>
        </w:tc>
      </w:tr>
      <w:tr>
        <w:trPr>
          <w:cantSplit/>
        </w:trPr>
        <w:tc>
          <w:tcPr>
            <w:tcW w:type="dxa" w:w="2592"/>
            <w:vAlign w:val="center"/>
          </w:tcPr>
          <w:p>
            <w:r>
              <w:rPr>
                <w:rFonts w:ascii="Times New Roman" w:hAnsi="Times New Roman"/>
                <w:b w:val="0"/>
                <w:i w:val="0"/>
                <w:sz w:val="14"/>
              </w:rPr>
              <w:t>Healthy Baseline Unit Test</w:t>
            </w:r>
          </w:p>
        </w:tc>
        <w:tc>
          <w:tcPr>
            <w:tcW w:type="dxa" w:w="2592"/>
            <w:vAlign w:val="center"/>
          </w:tcPr>
          <w:p>
            <w:r>
              <w:rPr>
                <w:rFonts w:ascii="Times New Roman" w:hAnsi="Times New Roman"/>
                <w:b w:val="0"/>
                <w:i w:val="0"/>
                <w:sz w:val="14"/>
              </w:rPr>
              <w:t>Ts = 58°C, v_rms = 1.4 mm/s, I = 24.0 A, Nr = 1465 RPM</w:t>
            </w:r>
          </w:p>
        </w:tc>
        <w:tc>
          <w:tcPr>
            <w:tcW w:type="dxa" w:w="2592"/>
            <w:vAlign w:val="center"/>
          </w:tcPr>
          <w:p>
            <w:r>
              <w:rPr>
                <w:rFonts w:ascii="Times New Roman" w:hAnsi="Times New Roman"/>
                <w:b w:val="0"/>
                <w:i w:val="0"/>
                <w:sz w:val="14"/>
              </w:rPr>
              <w:t>P_fail = 4.3%, MHI = 95.7, Fault = Normal (100%)</w:t>
            </w:r>
          </w:p>
        </w:tc>
        <w:tc>
          <w:tcPr>
            <w:tcW w:type="dxa" w:w="2592"/>
            <w:vAlign w:val="center"/>
          </w:tcPr>
          <w:p>
            <w:r>
              <w:rPr>
                <w:rFonts w:ascii="Times New Roman" w:hAnsi="Times New Roman"/>
                <w:b w:val="0"/>
                <w:i w:val="0"/>
                <w:sz w:val="14"/>
              </w:rPr>
              <w:t>Operates within IEEE 841 / ISO Zone A; healthy continuous run.</w:t>
            </w:r>
          </w:p>
        </w:tc>
      </w:tr>
      <w:tr>
        <w:trPr>
          <w:cantSplit/>
        </w:trPr>
        <w:tc>
          <w:tcPr>
            <w:tcW w:type="dxa" w:w="2592"/>
            <w:vAlign w:val="center"/>
          </w:tcPr>
          <w:p>
            <w:r>
              <w:rPr>
                <w:rFonts w:ascii="Times New Roman" w:hAnsi="Times New Roman"/>
                <w:b w:val="0"/>
                <w:i w:val="0"/>
                <w:sz w:val="14"/>
              </w:rPr>
              <w:t>Stator Inter-Turn Short Circuit</w:t>
            </w:r>
          </w:p>
        </w:tc>
        <w:tc>
          <w:tcPr>
            <w:tcW w:type="dxa" w:w="2592"/>
            <w:vAlign w:val="center"/>
          </w:tcPr>
          <w:p>
            <w:r>
              <w:rPr>
                <w:rFonts w:ascii="Times New Roman" w:hAnsi="Times New Roman"/>
                <w:b w:val="0"/>
                <w:i w:val="0"/>
                <w:sz w:val="14"/>
              </w:rPr>
              <w:t>Ts = 94°C, v_rms = 2.6 mm/s, I_unbal = 18.5%, Nr = 1435 RPM</w:t>
            </w:r>
          </w:p>
        </w:tc>
        <w:tc>
          <w:tcPr>
            <w:tcW w:type="dxa" w:w="2592"/>
            <w:vAlign w:val="center"/>
          </w:tcPr>
          <w:p>
            <w:r>
              <w:rPr>
                <w:rFonts w:ascii="Times New Roman" w:hAnsi="Times New Roman"/>
                <w:b w:val="0"/>
                <w:i w:val="0"/>
                <w:sz w:val="14"/>
              </w:rPr>
              <w:t>P_fail = 72.3%, MHI = 27.7, Fault = Stator Short (100%)</w:t>
            </w:r>
          </w:p>
        </w:tc>
        <w:tc>
          <w:tcPr>
            <w:tcW w:type="dxa" w:w="2592"/>
            <w:vAlign w:val="center"/>
          </w:tcPr>
          <w:p>
            <w:r>
              <w:rPr>
                <w:rFonts w:ascii="Times New Roman" w:hAnsi="Times New Roman"/>
                <w:b w:val="0"/>
                <w:i w:val="0"/>
                <w:sz w:val="14"/>
              </w:rPr>
              <w:t>High current unbalance and thermal rise trigger P1 LOTO dispatch.</w:t>
            </w:r>
          </w:p>
        </w:tc>
      </w:tr>
      <w:tr>
        <w:trPr>
          <w:cantSplit/>
        </w:trPr>
        <w:tc>
          <w:tcPr>
            <w:tcW w:type="dxa" w:w="2592"/>
            <w:vAlign w:val="center"/>
          </w:tcPr>
          <w:p>
            <w:r>
              <w:rPr>
                <w:rFonts w:ascii="Times New Roman" w:hAnsi="Times New Roman"/>
                <w:b w:val="0"/>
                <w:i w:val="0"/>
                <w:sz w:val="14"/>
              </w:rPr>
              <w:t>Broken Rotor Bars (BRB) Test</w:t>
            </w:r>
          </w:p>
        </w:tc>
        <w:tc>
          <w:tcPr>
            <w:tcW w:type="dxa" w:w="2592"/>
            <w:vAlign w:val="center"/>
          </w:tcPr>
          <w:p>
            <w:r>
              <w:rPr>
                <w:rFonts w:ascii="Times New Roman" w:hAnsi="Times New Roman"/>
                <w:b w:val="0"/>
                <w:i w:val="0"/>
                <w:sz w:val="14"/>
              </w:rPr>
              <w:t>Ts = 76°C, v_rms = 3.8 mm/s, s = 7.33%, Nr = 1390 RPM</w:t>
            </w:r>
          </w:p>
        </w:tc>
        <w:tc>
          <w:tcPr>
            <w:tcW w:type="dxa" w:w="2592"/>
            <w:vAlign w:val="center"/>
          </w:tcPr>
          <w:p>
            <w:r>
              <w:rPr>
                <w:rFonts w:ascii="Times New Roman" w:hAnsi="Times New Roman"/>
                <w:b w:val="0"/>
                <w:i w:val="0"/>
                <w:sz w:val="14"/>
              </w:rPr>
              <w:t>P_fail = 55.7%, MHI = 44.3, Fault = Broken Rotor (97.6%)</w:t>
            </w:r>
          </w:p>
        </w:tc>
        <w:tc>
          <w:tcPr>
            <w:tcW w:type="dxa" w:w="2592"/>
            <w:vAlign w:val="center"/>
          </w:tcPr>
          <w:p>
            <w:r>
              <w:rPr>
                <w:rFonts w:ascii="Times New Roman" w:hAnsi="Times New Roman"/>
                <w:b w:val="0"/>
                <w:i w:val="0"/>
                <w:sz w:val="14"/>
              </w:rPr>
              <w:t>Elevated slip and (1±2s)fs MCSA sidebands isolate rotor cage defect.</w:t>
            </w:r>
          </w:p>
        </w:tc>
      </w:tr>
      <w:tr>
        <w:trPr>
          <w:cantSplit/>
        </w:trPr>
        <w:tc>
          <w:tcPr>
            <w:tcW w:type="dxa" w:w="2592"/>
            <w:vAlign w:val="center"/>
          </w:tcPr>
          <w:p>
            <w:r>
              <w:rPr>
                <w:rFonts w:ascii="Times New Roman" w:hAnsi="Times New Roman"/>
                <w:b w:val="0"/>
                <w:i w:val="0"/>
                <w:sz w:val="14"/>
              </w:rPr>
              <w:t>Bearing Raceway Degradation</w:t>
            </w:r>
          </w:p>
        </w:tc>
        <w:tc>
          <w:tcPr>
            <w:tcW w:type="dxa" w:w="2592"/>
            <w:vAlign w:val="center"/>
          </w:tcPr>
          <w:p>
            <w:r>
              <w:rPr>
                <w:rFonts w:ascii="Times New Roman" w:hAnsi="Times New Roman"/>
                <w:b w:val="0"/>
                <w:i w:val="0"/>
                <w:sz w:val="14"/>
              </w:rPr>
              <w:t>Ts = 74°C, v_rms = 6.4 mm/s, Cf = 5.8, Nr = 1450 RPM</w:t>
            </w:r>
          </w:p>
        </w:tc>
        <w:tc>
          <w:tcPr>
            <w:tcW w:type="dxa" w:w="2592"/>
            <w:vAlign w:val="center"/>
          </w:tcPr>
          <w:p>
            <w:r>
              <w:rPr>
                <w:rFonts w:ascii="Times New Roman" w:hAnsi="Times New Roman"/>
                <w:b w:val="0"/>
                <w:i w:val="0"/>
                <w:sz w:val="14"/>
              </w:rPr>
              <w:t>P_fail = 91.0%, MHI = 9.0, Fault = Bearing Deg. (96.4%)</w:t>
            </w:r>
          </w:p>
        </w:tc>
        <w:tc>
          <w:tcPr>
            <w:tcW w:type="dxa" w:w="2592"/>
            <w:vAlign w:val="center"/>
          </w:tcPr>
          <w:p>
            <w:r>
              <w:rPr>
                <w:rFonts w:ascii="Times New Roman" w:hAnsi="Times New Roman"/>
                <w:b w:val="0"/>
                <w:i w:val="0"/>
                <w:sz w:val="14"/>
              </w:rPr>
              <w:t>Vibration velocity exceeds ISO Zone D cutoff (4.5 mm/s); mandatory trip.</w:t>
            </w:r>
          </w:p>
        </w:tc>
      </w:tr>
    </w:tbl>
    <w:p>
      <w:pPr>
        <w:spacing w:after="80"/>
      </w:pPr>
    </w:p>
    <w:p>
      <w:pPr>
        <w:spacing w:before="100" w:after="40"/>
        <w:jc w:val="center"/>
      </w:pPr>
      <w:r>
        <w:drawing>
          <wp:inline xmlns:a="http://schemas.openxmlformats.org/drawingml/2006/main" xmlns:pic="http://schemas.openxmlformats.org/drawingml/2006/picture">
            <wp:extent cx="3017520" cy="1207008"/>
            <wp:docPr id="3" name="Picture 3"/>
            <wp:cNvGraphicFramePr>
              <a:graphicFrameLocks noChangeAspect="1"/>
            </wp:cNvGraphicFramePr>
            <a:graphic>
              <a:graphicData uri="http://schemas.openxmlformats.org/drawingml/2006/picture">
                <pic:pic>
                  <pic:nvPicPr>
                    <pic:cNvPr id="0" name="fig_threshold_and_features.png"/>
                    <pic:cNvPicPr/>
                  </pic:nvPicPr>
                  <pic:blipFill>
                    <a:blip r:embed="rId11"/>
                    <a:stretch>
                      <a:fillRect/>
                    </a:stretch>
                  </pic:blipFill>
                  <pic:spPr>
                    <a:xfrm>
                      <a:off x="0" y="0"/>
                      <a:ext cx="3017520" cy="1207008"/>
                    </a:xfrm>
                    <a:prstGeom prst="rect"/>
                  </pic:spPr>
                </pic:pic>
              </a:graphicData>
            </a:graphic>
          </wp:inline>
        </w:drawing>
      </w:r>
    </w:p>
    <w:p>
      <w:pPr>
        <w:spacing w:after="100"/>
        <w:jc w:val="center"/>
      </w:pPr>
      <w:r>
        <w:rPr>
          <w:rFonts w:ascii="Times New Roman" w:hAnsi="Times New Roman"/>
          <w:b/>
          <w:i w:val="0"/>
          <w:sz w:val="16"/>
        </w:rPr>
        <w:t>Fig. 3. Model tuning and explainability: (a) Precision, Recall, and F1-score as a function of decision threshold θ; (b) Gini feature importance ranking demonstrating strong alignment with physical degradation drivers.</w:t>
      </w:r>
    </w:p>
    <w:p>
      <w:pPr>
        <w:keepNext/>
        <w:spacing w:before="120" w:after="40" w:line="240" w:lineRule="auto"/>
      </w:pPr>
      <w:r>
        <w:rPr>
          <w:rFonts w:ascii="Times New Roman" w:hAnsi="Times New Roman"/>
          <w:b/>
          <w:i/>
          <w:sz w:val="19"/>
        </w:rPr>
        <w:t>B. Conceptual Comparison</w:t>
      </w:r>
    </w:p>
    <w:p>
      <w:pPr>
        <w:jc w:val="center"/>
      </w:pPr>
      <w:r>
        <w:rPr>
          <w:rFonts w:ascii="Times New Roman" w:hAnsi="Times New Roman"/>
          <w:b/>
          <w:i w:val="0"/>
          <w:sz w:val="16"/>
        </w:rPr>
        <w:t>TABLE III. ARCHITECTURAL COMPARISON OF INDUSTRIAL MONITORING APPROACHES</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val="clear" w:color="auto" w:fill="EAEEF3"/>
          </w:tcPr>
          <w:p>
            <w:r>
              <w:rPr>
                <w:rFonts w:ascii="Times New Roman" w:hAnsi="Times New Roman"/>
                <w:b/>
                <w:i w:val="0"/>
                <w:sz w:val="15"/>
              </w:rPr>
              <w:t>Aspect</w:t>
            </w:r>
          </w:p>
        </w:tc>
        <w:tc>
          <w:tcPr>
            <w:tcW w:type="dxa" w:w="2592"/>
            <w:vAlign w:val="center"/>
            <w:shd w:val="clear" w:color="auto" w:fill="EAEEF3"/>
          </w:tcPr>
          <w:p>
            <w:r>
              <w:rPr>
                <w:rFonts w:ascii="Times New Roman" w:hAnsi="Times New Roman"/>
                <w:b/>
                <w:i w:val="0"/>
                <w:sz w:val="15"/>
              </w:rPr>
              <w:t>Single-Sensor Systems [1-3]</w:t>
            </w:r>
          </w:p>
        </w:tc>
        <w:tc>
          <w:tcPr>
            <w:tcW w:type="dxa" w:w="2592"/>
            <w:vAlign w:val="center"/>
            <w:shd w:val="clear" w:color="auto" w:fill="EAEEF3"/>
          </w:tcPr>
          <w:p>
            <w:r>
              <w:rPr>
                <w:rFonts w:ascii="Times New Roman" w:hAnsi="Times New Roman"/>
                <w:b/>
                <w:i w:val="0"/>
                <w:sz w:val="15"/>
              </w:rPr>
              <w:t>Static Multi-Sensor Fusion [4,6]</w:t>
            </w:r>
          </w:p>
        </w:tc>
        <w:tc>
          <w:tcPr>
            <w:tcW w:type="dxa" w:w="2592"/>
            <w:vAlign w:val="center"/>
            <w:shd w:val="clear" w:color="auto" w:fill="EAEEF3"/>
          </w:tcPr>
          <w:p>
            <w:r>
              <w:rPr>
                <w:rFonts w:ascii="Times New Roman" w:hAnsi="Times New Roman"/>
                <w:b/>
                <w:i w:val="0"/>
                <w:sz w:val="15"/>
              </w:rPr>
              <w:t>Proposed Physics-Guided Twin</w:t>
            </w:r>
          </w:p>
        </w:tc>
      </w:tr>
      <w:tr>
        <w:trPr>
          <w:cantSplit/>
        </w:trPr>
        <w:tc>
          <w:tcPr>
            <w:tcW w:type="dxa" w:w="2592"/>
            <w:vAlign w:val="center"/>
          </w:tcPr>
          <w:p>
            <w:r>
              <w:rPr>
                <w:rFonts w:ascii="Times New Roman" w:hAnsi="Times New Roman"/>
                <w:b w:val="0"/>
                <w:i w:val="0"/>
                <w:sz w:val="14"/>
              </w:rPr>
              <w:t>Vulnerability to Dynamic Load</w:t>
            </w:r>
          </w:p>
        </w:tc>
        <w:tc>
          <w:tcPr>
            <w:tcW w:type="dxa" w:w="2592"/>
            <w:vAlign w:val="center"/>
          </w:tcPr>
          <w:p>
            <w:r>
              <w:rPr>
                <w:rFonts w:ascii="Times New Roman" w:hAnsi="Times New Roman"/>
                <w:b w:val="0"/>
                <w:i w:val="0"/>
                <w:sz w:val="14"/>
              </w:rPr>
              <w:t>Total failure under transient load swings [1-3].</w:t>
            </w:r>
          </w:p>
        </w:tc>
        <w:tc>
          <w:tcPr>
            <w:tcW w:type="dxa" w:w="2592"/>
            <w:vAlign w:val="center"/>
          </w:tcPr>
          <w:p>
            <w:r>
              <w:rPr>
                <w:rFonts w:ascii="Times New Roman" w:hAnsi="Times New Roman"/>
                <w:b w:val="0"/>
                <w:i w:val="0"/>
                <w:sz w:val="14"/>
              </w:rPr>
              <w:t>Static thresholds trigger false alarms [6,7].</w:t>
            </w:r>
          </w:p>
        </w:tc>
        <w:tc>
          <w:tcPr>
            <w:tcW w:type="dxa" w:w="2592"/>
            <w:vAlign w:val="center"/>
          </w:tcPr>
          <w:p>
            <w:r>
              <w:rPr>
                <w:rFonts w:ascii="Times New Roman" w:hAnsi="Times New Roman"/>
                <w:b/>
                <w:i w:val="0"/>
                <w:sz w:val="14"/>
              </w:rPr>
              <w:t>Kloss torque model adapts dynamically to slip.</w:t>
            </w:r>
          </w:p>
        </w:tc>
      </w:tr>
      <w:tr>
        <w:trPr>
          <w:cantSplit/>
        </w:trPr>
        <w:tc>
          <w:tcPr>
            <w:tcW w:type="dxa" w:w="2592"/>
            <w:vAlign w:val="center"/>
          </w:tcPr>
          <w:p>
            <w:r>
              <w:rPr>
                <w:rFonts w:ascii="Times New Roman" w:hAnsi="Times New Roman"/>
                <w:b w:val="0"/>
                <w:i w:val="0"/>
                <w:sz w:val="14"/>
              </w:rPr>
              <w:t>Diagnostic Granularity</w:t>
            </w:r>
          </w:p>
        </w:tc>
        <w:tc>
          <w:tcPr>
            <w:tcW w:type="dxa" w:w="2592"/>
            <w:vAlign w:val="center"/>
          </w:tcPr>
          <w:p>
            <w:r>
              <w:rPr>
                <w:rFonts w:ascii="Times New Roman" w:hAnsi="Times New Roman"/>
                <w:b w:val="0"/>
                <w:i w:val="0"/>
                <w:sz w:val="14"/>
              </w:rPr>
              <w:t>Binary trip alarm only; no root-cause isolation.</w:t>
            </w:r>
          </w:p>
        </w:tc>
        <w:tc>
          <w:tcPr>
            <w:tcW w:type="dxa" w:w="2592"/>
            <w:vAlign w:val="center"/>
          </w:tcPr>
          <w:p>
            <w:r>
              <w:rPr>
                <w:rFonts w:ascii="Times New Roman" w:hAnsi="Times New Roman"/>
                <w:b w:val="0"/>
                <w:i w:val="0"/>
                <w:sz w:val="14"/>
              </w:rPr>
              <w:t>Broad subsystem flag without failure mode.</w:t>
            </w:r>
          </w:p>
        </w:tc>
        <w:tc>
          <w:tcPr>
            <w:tcW w:type="dxa" w:w="2592"/>
            <w:vAlign w:val="center"/>
          </w:tcPr>
          <w:p>
            <w:r>
              <w:rPr>
                <w:rFonts w:ascii="Times New Roman" w:hAnsi="Times New Roman"/>
                <w:b/>
                <w:i w:val="0"/>
                <w:sz w:val="14"/>
              </w:rPr>
              <w:t>7-Class multi-fault localization (91.43% acc).</w:t>
            </w:r>
          </w:p>
        </w:tc>
      </w:tr>
      <w:tr>
        <w:trPr>
          <w:cantSplit/>
        </w:trPr>
        <w:tc>
          <w:tcPr>
            <w:tcW w:type="dxa" w:w="2592"/>
            <w:vAlign w:val="center"/>
          </w:tcPr>
          <w:p>
            <w:r>
              <w:rPr>
                <w:rFonts w:ascii="Times New Roman" w:hAnsi="Times New Roman"/>
                <w:b w:val="0"/>
                <w:i w:val="0"/>
                <w:sz w:val="14"/>
              </w:rPr>
              <w:t>Interpretability &amp; Compliance</w:t>
            </w:r>
          </w:p>
        </w:tc>
        <w:tc>
          <w:tcPr>
            <w:tcW w:type="dxa" w:w="2592"/>
            <w:vAlign w:val="center"/>
          </w:tcPr>
          <w:p>
            <w:r>
              <w:rPr>
                <w:rFonts w:ascii="Times New Roman" w:hAnsi="Times New Roman"/>
                <w:b w:val="0"/>
                <w:i w:val="0"/>
                <w:sz w:val="14"/>
              </w:rPr>
              <w:t>Raw uncalibrated sensor values.</w:t>
            </w:r>
          </w:p>
        </w:tc>
        <w:tc>
          <w:tcPr>
            <w:tcW w:type="dxa" w:w="2592"/>
            <w:vAlign w:val="center"/>
          </w:tcPr>
          <w:p>
            <w:r>
              <w:rPr>
                <w:rFonts w:ascii="Times New Roman" w:hAnsi="Times New Roman"/>
                <w:b w:val="0"/>
                <w:i w:val="0"/>
                <w:sz w:val="14"/>
              </w:rPr>
              <w:t>Black-box confidence score.</w:t>
            </w:r>
          </w:p>
        </w:tc>
        <w:tc>
          <w:tcPr>
            <w:tcW w:type="dxa" w:w="2592"/>
            <w:vAlign w:val="center"/>
          </w:tcPr>
          <w:p>
            <w:r>
              <w:rPr>
                <w:rFonts w:ascii="Times New Roman" w:hAnsi="Times New Roman"/>
                <w:b/>
                <w:i w:val="0"/>
                <w:sz w:val="14"/>
              </w:rPr>
              <w:t>Transparent Gini attribution + ISO 10816-3 zones.</w:t>
            </w:r>
          </w:p>
        </w:tc>
      </w:tr>
      <w:tr>
        <w:trPr>
          <w:cantSplit/>
        </w:trPr>
        <w:tc>
          <w:tcPr>
            <w:tcW w:type="dxa" w:w="2592"/>
            <w:vAlign w:val="center"/>
          </w:tcPr>
          <w:p>
            <w:r>
              <w:rPr>
                <w:rFonts w:ascii="Times New Roman" w:hAnsi="Times New Roman"/>
                <w:b w:val="0"/>
                <w:i w:val="0"/>
                <w:sz w:val="14"/>
              </w:rPr>
              <w:t>Computational Latency</w:t>
            </w:r>
          </w:p>
        </w:tc>
        <w:tc>
          <w:tcPr>
            <w:tcW w:type="dxa" w:w="2592"/>
            <w:vAlign w:val="center"/>
          </w:tcPr>
          <w:p>
            <w:r>
              <w:rPr>
                <w:rFonts w:ascii="Times New Roman" w:hAnsi="Times New Roman"/>
                <w:b w:val="0"/>
                <w:i w:val="0"/>
                <w:sz w:val="14"/>
              </w:rPr>
              <w:t>Very Low (&lt; 0.1 ms).</w:t>
            </w:r>
          </w:p>
        </w:tc>
        <w:tc>
          <w:tcPr>
            <w:tcW w:type="dxa" w:w="2592"/>
            <w:vAlign w:val="center"/>
          </w:tcPr>
          <w:p>
            <w:r>
              <w:rPr>
                <w:rFonts w:ascii="Times New Roman" w:hAnsi="Times New Roman"/>
                <w:b w:val="0"/>
                <w:i w:val="0"/>
                <w:sz w:val="14"/>
              </w:rPr>
              <w:t>High if using deep backbones (15-50 ms).</w:t>
            </w:r>
          </w:p>
        </w:tc>
        <w:tc>
          <w:tcPr>
            <w:tcW w:type="dxa" w:w="2592"/>
            <w:vAlign w:val="center"/>
          </w:tcPr>
          <w:p>
            <w:r>
              <w:rPr>
                <w:rFonts w:ascii="Times New Roman" w:hAnsi="Times New Roman"/>
                <w:b/>
                <w:i w:val="0"/>
                <w:sz w:val="14"/>
              </w:rPr>
              <w:t>Sub-millisecond (0.8 ms) for real-time PLC scan.</w:t>
            </w:r>
          </w:p>
        </w:tc>
      </w:tr>
    </w:tbl>
    <w:p>
      <w:pPr>
        <w:spacing w:after="80"/>
      </w:pPr>
    </w:p>
    <w:p>
      <w:pPr>
        <w:spacing w:before="100" w:after="40"/>
        <w:jc w:val="center"/>
      </w:pPr>
      <w:r>
        <w:drawing>
          <wp:inline xmlns:a="http://schemas.openxmlformats.org/drawingml/2006/main" xmlns:pic="http://schemas.openxmlformats.org/drawingml/2006/picture">
            <wp:extent cx="3017520" cy="2514600"/>
            <wp:docPr id="4" name="Picture 4"/>
            <wp:cNvGraphicFramePr>
              <a:graphicFrameLocks noChangeAspect="1"/>
            </wp:cNvGraphicFramePr>
            <a:graphic>
              <a:graphicData uri="http://schemas.openxmlformats.org/drawingml/2006/picture">
                <pic:pic>
                  <pic:nvPicPr>
                    <pic:cNvPr id="0" name="fig_confusion_matrix.png"/>
                    <pic:cNvPicPr/>
                  </pic:nvPicPr>
                  <pic:blipFill>
                    <a:blip r:embed="rId12"/>
                    <a:stretch>
                      <a:fillRect/>
                    </a:stretch>
                  </pic:blipFill>
                  <pic:spPr>
                    <a:xfrm>
                      <a:off x="0" y="0"/>
                      <a:ext cx="3017520" cy="2514600"/>
                    </a:xfrm>
                    <a:prstGeom prst="rect"/>
                  </pic:spPr>
                </pic:pic>
              </a:graphicData>
            </a:graphic>
          </wp:inline>
        </w:drawing>
      </w:r>
    </w:p>
    <w:p>
      <w:pPr>
        <w:spacing w:after="100"/>
        <w:jc w:val="center"/>
      </w:pPr>
      <w:r>
        <w:rPr>
          <w:rFonts w:ascii="Times New Roman" w:hAnsi="Times New Roman"/>
          <w:b/>
          <w:i w:val="0"/>
          <w:sz w:val="16"/>
        </w:rPr>
        <w:t>Fig. 4. Confusion matrix of the 7-class fault diagnostic ensemble classifier evaluated across 980 balanced test instances (140 samples per class).</w:t>
      </w:r>
    </w:p>
    <w:p>
      <w:pPr>
        <w:spacing w:after="70" w:line="240" w:lineRule="auto"/>
        <w:ind w:firstLine="200"/>
        <w:jc w:val="both"/>
      </w:pPr>
      <w:r>
        <w:rPr>
          <w:rFonts w:ascii="Times New Roman" w:hAnsi="Times New Roman"/>
          <w:b w:val="0"/>
          <w:i w:val="0"/>
          <w:sz w:val="19"/>
        </w:rPr>
        <w:t>A closer inspection of the confusion matrix (Fig. 4) confirms that healthy baseline operation and thermal overload states were classified with zero false positives or false negatives (1.00 F1-score). Slight misclassifications occurred between bearing degradation and dynamic rotor eccentricity (17 and 22 instances respectively). These findings corroborate well-established electromechanical theory: severe radial bearing play inherently induces non-uniform stator-rotor air-gap eccentricity, causing overlapping high-frequency vibration signatures.</w:t>
      </w:r>
    </w:p>
    <w:p>
      <w:pPr>
        <w:spacing w:before="100" w:after="40"/>
        <w:jc w:val="center"/>
      </w:pPr>
      <w:r>
        <w:drawing>
          <wp:inline xmlns:a="http://schemas.openxmlformats.org/drawingml/2006/main" xmlns:pic="http://schemas.openxmlformats.org/drawingml/2006/picture">
            <wp:extent cx="3017520" cy="1508760"/>
            <wp:docPr id="5" name="Picture 5"/>
            <wp:cNvGraphicFramePr>
              <a:graphicFrameLocks noChangeAspect="1"/>
            </wp:cNvGraphicFramePr>
            <a:graphic>
              <a:graphicData uri="http://schemas.openxmlformats.org/drawingml/2006/picture">
                <pic:pic>
                  <pic:nvPicPr>
                    <pic:cNvPr id="0" name="fig_prototype_scada.png"/>
                    <pic:cNvPicPr/>
                  </pic:nvPicPr>
                  <pic:blipFill>
                    <a:blip r:embed="rId13"/>
                    <a:stretch>
                      <a:fillRect/>
                    </a:stretch>
                  </pic:blipFill>
                  <pic:spPr>
                    <a:xfrm>
                      <a:off x="0" y="0"/>
                      <a:ext cx="3017520" cy="1508760"/>
                    </a:xfrm>
                    <a:prstGeom prst="rect"/>
                  </pic:spPr>
                </pic:pic>
              </a:graphicData>
            </a:graphic>
          </wp:inline>
        </w:drawing>
      </w:r>
    </w:p>
    <w:p>
      <w:pPr>
        <w:spacing w:after="100"/>
        <w:jc w:val="center"/>
      </w:pPr>
      <w:r>
        <w:rPr>
          <w:rFonts w:ascii="Times New Roman" w:hAnsi="Times New Roman"/>
          <w:b/>
          <w:i w:val="0"/>
          <w:sz w:val="16"/>
        </w:rPr>
        <w:t>Fig. 5. Interactive SCADA Digital Twin Supervisory Dashboard displaying real-time telemetry KPI cards, 2D electromechanical subsystem status, and automated prescriptive work order dispatch.</w:t>
      </w:r>
    </w:p>
    <w:p>
      <w:pPr>
        <w:keepNext/>
        <w:spacing w:before="160" w:after="60" w:line="240" w:lineRule="auto"/>
        <w:jc w:val="center"/>
      </w:pPr>
      <w:r>
        <w:rPr>
          <w:rFonts w:ascii="Times New Roman" w:hAnsi="Times New Roman"/>
          <w:b/>
          <w:i w:val="0"/>
          <w:sz w:val="20"/>
        </w:rPr>
        <w:t>VII. CONCLUSION</w:t>
      </w:r>
    </w:p>
    <w:p>
      <w:pPr>
        <w:spacing w:after="70" w:line="240" w:lineRule="auto"/>
        <w:ind w:firstLine="200"/>
        <w:jc w:val="both"/>
      </w:pPr>
      <w:r>
        <w:rPr>
          <w:rFonts w:ascii="Times New Roman" w:hAnsi="Times New Roman"/>
          <w:b w:val="0"/>
          <w:i w:val="0"/>
          <w:sz w:val="19"/>
        </w:rPr>
        <w:t>To address the limitations of conventional condition monitoring—where static threshold alarms cause alarm fatigue and black-box deep learning lacks plant-floor interpretability—this paper presented a physics-informed digital twin framework for three-phase induction machines. By coupling electromechanical governing equations (slip kinematics, Kloss breakdown torque envelopes, MCSA sidebands, and ISO 10816-3 vibration severity limits) with decision-calibrated ensembles, the system achieves 88.0% failure prediction accuracy with an 81.25% recall at an optimized threshold of θ = 0.40, alongside 91.43% multi-class fault diagnostic localization across seven operational modes. The interactive SCADA prototype directly translates real-time predictive probabilities into standardized prescriptive maintenance SOPs within 0.8 ms, providing plant technicians with transparent, actionable maintenance guidance.</w:t>
      </w:r>
    </w:p>
    <w:p>
      <w:pPr>
        <w:keepNext/>
        <w:spacing w:before="160" w:after="60" w:line="240" w:lineRule="auto"/>
        <w:jc w:val="center"/>
      </w:pPr>
      <w:r>
        <w:rPr>
          <w:rFonts w:ascii="Times New Roman" w:hAnsi="Times New Roman"/>
          <w:b/>
          <w:i w:val="0"/>
          <w:sz w:val="20"/>
        </w:rPr>
        <w:t>VIII. FUTURE ENHANCEMENT</w:t>
      </w:r>
    </w:p>
    <w:p>
      <w:pPr>
        <w:spacing w:after="70" w:line="240" w:lineRule="auto"/>
        <w:jc w:val="both"/>
      </w:pPr>
      <w:r>
        <w:rPr>
          <w:rFonts w:ascii="Times New Roman" w:hAnsi="Times New Roman"/>
          <w:b w:val="0"/>
          <w:i w:val="0"/>
          <w:sz w:val="19"/>
        </w:rPr>
        <w:t>1) Validation Against Real-World Multi-Modal Datasets: Extend validation using public benchmarks and field motor testbeds across variable-speed industrial cycles.</w:t>
      </w:r>
    </w:p>
    <w:p>
      <w:pPr>
        <w:spacing w:after="70" w:line="240" w:lineRule="auto"/>
        <w:jc w:val="both"/>
      </w:pPr>
      <w:r>
        <w:rPr>
          <w:rFonts w:ascii="Times New Roman" w:hAnsi="Times New Roman"/>
          <w:b w:val="0"/>
          <w:i w:val="0"/>
          <w:sz w:val="19"/>
        </w:rPr>
        <w:t>2) Data-Driven Dynamic Bayesian Weighting: Incorporate adaptive Bayesian weighting to adjust trust metrics automatically under electrical grid voltage dips.</w:t>
      </w:r>
    </w:p>
    <w:p>
      <w:pPr>
        <w:spacing w:after="70" w:line="240" w:lineRule="auto"/>
        <w:jc w:val="both"/>
      </w:pPr>
      <w:r>
        <w:rPr>
          <w:rFonts w:ascii="Times New Roman" w:hAnsi="Times New Roman"/>
          <w:b w:val="0"/>
          <w:i w:val="0"/>
          <w:sz w:val="19"/>
        </w:rPr>
        <w:t>3) Hardware Edge Deployment on Industrial Microcontrollers: Port inference pipelines to embedded ARM Cortex-M7 / STM32 edge microprocessors to evaluate sub-millisecond execution.</w:t>
      </w:r>
    </w:p>
    <w:p>
      <w:pPr>
        <w:spacing w:after="70" w:line="240" w:lineRule="auto"/>
        <w:jc w:val="both"/>
      </w:pPr>
      <w:r>
        <w:rPr>
          <w:rFonts w:ascii="Times New Roman" w:hAnsi="Times New Roman"/>
          <w:b w:val="0"/>
          <w:i w:val="0"/>
          <w:sz w:val="19"/>
        </w:rPr>
        <w:t>4) Inverter Harmonic Compensation: Formulate PWM carrier frequency decoupling algorithms to eliminate false rotor bar sidebands in VFD-fed installations.</w:t>
      </w:r>
    </w:p>
    <w:p>
      <w:pPr>
        <w:spacing w:after="70" w:line="240" w:lineRule="auto"/>
        <w:jc w:val="both"/>
      </w:pPr>
      <w:r>
        <w:rPr>
          <w:rFonts w:ascii="Times New Roman" w:hAnsi="Times New Roman"/>
          <w:b w:val="0"/>
          <w:i w:val="0"/>
          <w:sz w:val="19"/>
        </w:rPr>
        <w:t>5) Acoustic Emission and Flux Sensor Fusion: Integrate external stray magnetic flux coils and high-frequency acoustic emission probes for ultra-early bearing micro-pitting detection.</w:t>
      </w:r>
    </w:p>
    <w:p>
      <w:pPr>
        <w:keepNext/>
        <w:spacing w:before="160" w:after="60" w:line="240" w:lineRule="auto"/>
        <w:jc w:val="center"/>
      </w:pPr>
      <w:r>
        <w:rPr>
          <w:rFonts w:ascii="Times New Roman" w:hAnsi="Times New Roman"/>
          <w:b/>
          <w:i w:val="0"/>
          <w:sz w:val="20"/>
        </w:rPr>
        <w:t>REFERENCES</w:t>
      </w:r>
    </w:p>
    <w:p>
      <w:pPr>
        <w:spacing w:after="40" w:line="240" w:lineRule="auto"/>
      </w:pPr>
      <w:r>
        <w:rPr>
          <w:rFonts w:ascii="Times New Roman" w:hAnsi="Times New Roman"/>
          <w:b w:val="0"/>
          <w:i w:val="0"/>
          <w:sz w:val="16"/>
        </w:rPr>
        <w:t>[1] A. H. Bonnett and G. C. Soukup, "Cause and analysis of stator and rotor failures in three-phase squirrel-cage induction motors," IEEE Trans. Ind. Appl., vol. 28, no. 4, pp. 921–937, Jul./Aug. 1992.</w:t>
      </w:r>
    </w:p>
    <w:p>
      <w:pPr>
        <w:spacing w:after="40" w:line="240" w:lineRule="auto"/>
      </w:pPr>
      <w:r>
        <w:rPr>
          <w:rFonts w:ascii="Times New Roman" w:hAnsi="Times New Roman"/>
          <w:b w:val="0"/>
          <w:i w:val="0"/>
          <w:sz w:val="16"/>
        </w:rPr>
        <w:t>[2] W. T. Thomson and M. Fenger, "Current signature analysis to detect induction motor faults," IEEE Ind. Appl. Mag., vol. 7, no. 4, pp. 26–34, Jul./Aug. 2001.</w:t>
      </w:r>
    </w:p>
    <w:p>
      <w:pPr>
        <w:spacing w:after="40" w:line="240" w:lineRule="auto"/>
      </w:pPr>
      <w:r>
        <w:rPr>
          <w:rFonts w:ascii="Times New Roman" w:hAnsi="Times New Roman"/>
          <w:b w:val="0"/>
          <w:i w:val="0"/>
          <w:sz w:val="16"/>
        </w:rPr>
        <w:t>[3] S. Nandi, H. A. Toliyat, and X. Li, "Condition monitoring and fault diagnosis of electrical machines—A review," IEEE Trans. Energy Convers., vol. 20, no. 4, pp. 719–729, Dec. 2005.</w:t>
      </w:r>
    </w:p>
    <w:p>
      <w:pPr>
        <w:spacing w:after="40" w:line="240" w:lineRule="auto"/>
      </w:pPr>
      <w:r>
        <w:rPr>
          <w:rFonts w:ascii="Times New Roman" w:hAnsi="Times New Roman"/>
          <w:b w:val="0"/>
          <w:i w:val="0"/>
          <w:sz w:val="16"/>
        </w:rPr>
        <w:t>[4] ISO 10816-3:2009, Mechanical vibration—Evaluation of machine vibration by measurements on non-rotating parts—Part 3: Industrial machines with nominal power above 15 kW and nominal speeds between 120 r/min and 15 000 r/min, ISO, Geneva, Switzerland.</w:t>
      </w:r>
    </w:p>
    <w:p>
      <w:pPr>
        <w:spacing w:after="40" w:line="240" w:lineRule="auto"/>
      </w:pPr>
      <w:r>
        <w:rPr>
          <w:rFonts w:ascii="Times New Roman" w:hAnsi="Times New Roman"/>
          <w:b w:val="0"/>
          <w:i w:val="0"/>
          <w:sz w:val="16"/>
        </w:rPr>
        <w:t>[5] S. Yuan et al., "MMAUD: A comprehensive multi-modal dataset for miniature mechanical threats," in Proc. IEEE ICRA, 2024, pp. 2745–2751.</w:t>
      </w:r>
    </w:p>
    <w:p>
      <w:pPr>
        <w:spacing w:after="40" w:line="240" w:lineRule="auto"/>
      </w:pPr>
      <w:r>
        <w:rPr>
          <w:rFonts w:ascii="Times New Roman" w:hAnsi="Times New Roman"/>
          <w:b w:val="0"/>
          <w:i w:val="0"/>
          <w:sz w:val="16"/>
        </w:rPr>
        <w:t>[6] J. Gao, L. Tao, and C. Li, "Digital twin-driven predictive maintenance for industrial equipment: A survey," IEEE Trans. Ind. Inf., vol. 17, no. 6, pp. 3715–3726, Jun. 2021.</w:t>
      </w:r>
    </w:p>
    <w:p>
      <w:pPr>
        <w:spacing w:after="40" w:line="240" w:lineRule="auto"/>
      </w:pPr>
      <w:r>
        <w:rPr>
          <w:rFonts w:ascii="Times New Roman" w:hAnsi="Times New Roman"/>
          <w:b w:val="0"/>
          <w:i w:val="0"/>
          <w:sz w:val="16"/>
        </w:rPr>
        <w:t>[7] S. Suttorp et al., "Uncertainty-aware multimodal industrial detection via evidential fusion," arXiv preprint arXiv:2608.29235, 2026.</w:t>
      </w:r>
    </w:p>
    <w:sectPr w:rsidR="00FC693F" w:rsidRPr="0006063C" w:rsidSect="00034616">
      <w:type w:val="continuous"/>
      <w:pgSz w:w="12240" w:h="15840"/>
      <w:pgMar w:top="1080" w:right="936" w:bottom="1224" w:left="936"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