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8"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MW 10-11am, Th 1-2pm</w:t>
      </w:r>
    </w:p>
    <w:bookmarkEnd w:id="23"/>
    <w:bookmarkStart w:id="25"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4">
        <w:r>
          <w:rPr>
            <w:rStyle w:val="Hyperlink"/>
          </w:rPr>
          <w:t xml:space="preserve">ga345@cornell.edu</w:t>
        </w:r>
      </w:hyperlink>
    </w:p>
    <w:p>
      <w:pPr>
        <w:pStyle w:val="Compact"/>
        <w:numPr>
          <w:ilvl w:val="0"/>
          <w:numId w:val="1002"/>
        </w:numPr>
      </w:pPr>
      <w:r>
        <w:t xml:space="preserve"> </w:t>
      </w:r>
      <w:r>
        <w:t xml:space="preserve">319 Riley-Robb</w:t>
      </w:r>
    </w:p>
    <w:p>
      <w:pPr>
        <w:pStyle w:val="Compact"/>
        <w:numPr>
          <w:ilvl w:val="0"/>
          <w:numId w:val="1002"/>
        </w:numPr>
      </w:pPr>
      <w:r>
        <w:t xml:space="preserve">Tu 10-11am</w:t>
      </w:r>
    </w:p>
    <w:bookmarkEnd w:id="25"/>
    <w:bookmarkStart w:id="26" w:name="meetings"/>
    <w:p>
      <w:pPr>
        <w:pStyle w:val="Heading3"/>
      </w:pPr>
      <w:r>
        <w:t xml:space="preserve">Meetings</w:t>
      </w:r>
    </w:p>
    <w:p>
      <w:pPr>
        <w:pStyle w:val="Compact"/>
        <w:numPr>
          <w:ilvl w:val="0"/>
          <w:numId w:val="1003"/>
        </w:numPr>
      </w:pPr>
      <w:r>
        <w:t xml:space="preserve"> </w:t>
      </w:r>
      <w:r>
        <w:t xml:space="preserve">MWF</w:t>
      </w:r>
    </w:p>
    <w:p>
      <w:pPr>
        <w:pStyle w:val="Compact"/>
        <w:numPr>
          <w:ilvl w:val="0"/>
          <w:numId w:val="1003"/>
        </w:numPr>
      </w:pPr>
      <w:r>
        <w:t xml:space="preserve"> </w:t>
      </w:r>
      <w:r>
        <w:t xml:space="preserve">1:25-2:15pm</w:t>
      </w:r>
    </w:p>
    <w:p>
      <w:pPr>
        <w:pStyle w:val="Compact"/>
        <w:numPr>
          <w:ilvl w:val="0"/>
          <w:numId w:val="1003"/>
        </w:numPr>
      </w:pPr>
      <w:r>
        <w:t xml:space="preserve"> </w:t>
      </w:r>
      <w:r>
        <w:t xml:space="preserve">105 Riley-Robb</w:t>
      </w:r>
    </w:p>
    <w:bookmarkEnd w:id="26"/>
    <w:bookmarkStart w:id="27"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7"/>
    <w:bookmarkEnd w:id="28"/>
    <w:bookmarkStart w:id="29" w:name="learning-objectives"/>
    <w:p>
      <w:pPr>
        <w:pStyle w:val="Heading2"/>
      </w:pPr>
      <w:r>
        <w:t xml:space="preserve">Learning Objectives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9"/>
    <w:bookmarkStart w:id="33"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Environmental Processes (BEE 2510 or BEE 2600)</w:t>
      </w:r>
    </w:p>
    <w:p>
      <w:pPr>
        <w:pStyle w:val="Compact"/>
        <w:numPr>
          <w:ilvl w:val="0"/>
          <w:numId w:val="1006"/>
        </w:numPr>
      </w:pPr>
      <w:r>
        <w:t xml:space="preserve">Engineering Computation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3"/>
    <w:bookmarkStart w:id="34" w:name="topics"/>
    <w:p>
      <w:pPr>
        <w:pStyle w:val="Heading2"/>
      </w:pPr>
      <w:r>
        <w:t xml:space="preserve">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Uncertainty and risk (Monte Carlo analysis)</w:t>
      </w:r>
    </w:p>
    <w:p>
      <w:pPr>
        <w:pStyle w:val="Compact"/>
        <w:numPr>
          <w:ilvl w:val="0"/>
          <w:numId w:val="1007"/>
        </w:numPr>
      </w:pPr>
      <w:r>
        <w:t xml:space="preserve">Dissolved oxygen in streams and rivers; waste load allocation (system simulation)</w:t>
      </w:r>
    </w:p>
    <w:p>
      <w:pPr>
        <w:pStyle w:val="Compact"/>
        <w:numPr>
          <w:ilvl w:val="0"/>
          <w:numId w:val="1007"/>
        </w:numPr>
      </w:pPr>
      <w:r>
        <w:t xml:space="preserve">Modeling of watersheds &amp; lakes (defining objectives, constraints)</w:t>
      </w:r>
    </w:p>
    <w:p>
      <w:pPr>
        <w:pStyle w:val="Compact"/>
        <w:numPr>
          <w:ilvl w:val="0"/>
          <w:numId w:val="1007"/>
        </w:numPr>
      </w:pPr>
      <w:r>
        <w:t xml:space="preserve">Modeling for air pollution control (model linearization; linear programming)</w:t>
      </w:r>
    </w:p>
    <w:p>
      <w:pPr>
        <w:pStyle w:val="Compact"/>
        <w:numPr>
          <w:ilvl w:val="0"/>
          <w:numId w:val="1007"/>
        </w:numPr>
      </w:pPr>
      <w:r>
        <w:t xml:space="preserve">Location of waste disposal facilities (integer linear programming)</w:t>
      </w:r>
    </w:p>
    <w:p>
      <w:pPr>
        <w:pStyle w:val="Compact"/>
        <w:numPr>
          <w:ilvl w:val="0"/>
          <w:numId w:val="1007"/>
        </w:numPr>
      </w:pPr>
      <w:r>
        <w:t xml:space="preserve">Robustness of solutions and sensitivity analysis</w:t>
      </w:r>
    </w:p>
    <w:bookmarkEnd w:id="34"/>
    <w:bookmarkStart w:id="35" w:name="course-meetings"/>
    <w:p>
      <w:pPr>
        <w:pStyle w:val="Heading2"/>
      </w:pPr>
      <w:r>
        <w:t xml:space="preserve">Course Meetings</w:t>
      </w:r>
    </w:p>
    <w:p>
      <w:pPr>
        <w:pStyle w:val="FirstParagraph"/>
      </w:pPr>
      <w:r>
        <w:t xml:space="preserve">This course meets MWF from 1:25–2:15 in 105 Riley-Robb Hall. In addition to the course meetings (a total of 42 lectures, 50 minutes each), the final project will be due during the university finals period. In addition to the work during the semester, students can expect to devote, on average, 4 hours of effort during the exam period.</w:t>
      </w:r>
    </w:p>
    <w:bookmarkEnd w:id="35"/>
    <w:bookmarkStart w:id="36"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6"/>
    <w:bookmarkStart w:id="51" w:name="community"/>
    <w:p>
      <w:pPr>
        <w:pStyle w:val="Heading2"/>
      </w:pPr>
      <w:r>
        <w:t xml:space="preserve">Community</w:t>
      </w:r>
    </w:p>
    <w:bookmarkStart w:id="40"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0"/>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1">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65"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
          <w:iCs/>
        </w:rPr>
        <w:t xml:space="preserve">which can accumulate to 100% of the total grade</w:t>
      </w:r>
      <w:r>
        <w:t xml:space="preserve">.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grading-scale"/>
    <w:p>
      <w:pPr>
        <w:pStyle w:val="Heading3"/>
      </w:pPr>
      <w:r>
        <w:t xml:space="preserve">Grading Scale</w:t>
      </w:r>
    </w:p>
    <w:p>
      <w:pPr>
        <w:pStyle w:val="FirstParagraph"/>
      </w:pPr>
      <w:r>
        <w:t xml:space="preserve">The following grading scale will be used to convert the numerical weighted average from the assessments (below) to</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66"/>
    <w:bookmarkStart w:id="68"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“labs”</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pStyle w:val="Compact"/>
        <w:numPr>
          <w:ilvl w:val="0"/>
          <w:numId w:val="1013"/>
        </w:numPr>
      </w:pPr>
      <w:r>
        <w:t xml:space="preserve">Some of the labs may some time outside of class, but they will not be as intensive as a homework assignment.</w:t>
      </w:r>
    </w:p>
    <w:p>
      <w:pPr>
        <w:pStyle w:val="Compact"/>
        <w:numPr>
          <w:ilvl w:val="0"/>
          <w:numId w:val="1013"/>
        </w:numPr>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pStyle w:val="Compact"/>
        <w:numPr>
          <w:ilvl w:val="0"/>
          <w:numId w:val="1013"/>
        </w:numPr>
      </w:pPr>
      <w:r>
        <w:t xml:space="preserve">While your lowest lab grade will not be dropped, late penalties will be waived for appropriate reasons discussed with the instructor (ideally ahead of time when circumstances allow).</w:t>
      </w:r>
    </w:p>
    <w:p>
      <w:pPr>
        <w:pStyle w:val="Compact"/>
        <w:numPr>
          <w:ilvl w:val="0"/>
          <w:numId w:val="1013"/>
        </w:numPr>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Rubrics will be provided for the homeworks as part of the assignments.</w:t>
      </w:r>
    </w:p>
    <w:p>
      <w:pPr>
        <w:pStyle w:val="Compact"/>
        <w:numPr>
          <w:ilvl w:val="0"/>
          <w:numId w:val="1014"/>
        </w:numPr>
      </w:pPr>
      <w:r>
        <w:t xml:space="preserve">Your lowest homework grade will be dropped. We can discuss arrangements if multiple assignments will be missed for university-approved reasons, preferably ahead of time.</w:t>
      </w:r>
    </w:p>
    <w:p>
      <w:pPr>
        <w:pStyle w:val="Compact"/>
        <w:numPr>
          <w:ilvl w:val="0"/>
          <w:numId w:val="1014"/>
        </w:numPr>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pStyle w:val="Compact"/>
        <w:numPr>
          <w:ilvl w:val="0"/>
          <w:numId w:val="1015"/>
        </w:numPr>
      </w:pPr>
      <w:r>
        <w:t xml:space="preserve">a proposal for feedback on the scope of your project; and</w:t>
      </w:r>
    </w:p>
    <w:p>
      <w:pPr>
        <w:pStyle w:val="Compact"/>
        <w:numPr>
          <w:ilvl w:val="0"/>
          <w:numId w:val="1015"/>
        </w:numPr>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b/>
                <w:bCs/>
                <w:i/>
                <w:iCs/>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b/>
                <w:bCs/>
                <w:i/>
                <w:iCs/>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
                <w:iCs/>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41"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4" Target="mailto:ga345@cornell.edu"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41"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4" Target="mailto:ga345@cornell.edu"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2025-06-12T09:54:33Z</dcterms:created>
  <dcterms:modified xsi:type="dcterms:W3CDTF">2025-06-12T09:54:33Z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toc-title">
    <vt:lpwstr>Table of contents</vt:lpwstr>
  </property>
</Properties>
</file>