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generative-aiml-policy"/>
    <w:p>
      <w:pPr>
        <w:pStyle w:val="Heading3"/>
      </w:pPr>
      <w:r>
        <w:t xml:space="preserve">Generative AI/ML Policy</w:t>
      </w:r>
    </w:p>
    <w:p>
      <w:pPr>
        <w:pStyle w:val="FirstParagraph"/>
      </w:pPr>
      <w:r>
        <w:t xml:space="preserve">As noted, all work submitted for a grade in this course must reflect your own understanding. The goal of this course is to build critical data-analytic and statistical skills, including evaluations of the output of statistical models. While generative AI/ML models, such as ChatGPT, NotebookLM, or similar, can be used to summarize text and enhance coding efficiency, appropriate usage of these tools requires similar levels of scrutiny, which cannot be obtained without a general understanding of the underlying material. Relying on these tools as a primary means of engaging with the course content and material without independent effort is therefore discouraged. Further, blind reliance on generative AI can result in the submission of so-called</w:t>
      </w:r>
      <w:r>
        <w:t xml:space="preserve"> </w:t>
      </w:r>
      <w:r>
        <w:t xml:space="preserve">“hallucinations”</w:t>
      </w:r>
      <w:r>
        <w:t xml:space="preserve"> </w:t>
      </w:r>
      <w:r>
        <w:t xml:space="preserve">due to the predictive nature of the AI output.</w:t>
      </w:r>
    </w:p>
    <w:p>
      <w:pPr>
        <w:pStyle w:val="BodyText"/>
      </w:pPr>
      <w:r>
        <w:t xml:space="preserve">However, the appropriate and thoughtful use of these tools is a legitimate professional skill and reflects an understanding of the content in this course. As a result, the use and consulation of AI/ML tools, such as ChatGPT or similar, is not prohibited, but must be clearly referenced. In addition to citing the use of the tool,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prompt(s) used to interact with the tool; and</w:t>
      </w:r>
    </w:p>
    <w:p>
      <w:pPr>
        <w:pStyle w:val="Compact"/>
        <w:numPr>
          <w:ilvl w:val="0"/>
          <w:numId w:val="1013"/>
        </w:numPr>
      </w:pPr>
      <w:r>
        <w:t xml:space="preserve">describe how you (directly or indirectly) integrated the response into your submission.</w:t>
      </w:r>
    </w:p>
    <w:p>
      <w:pPr>
        <w:pStyle w:val="FirstParagraph"/>
      </w:pPr>
      <w:r>
        <w:rPr>
          <w:b/>
          <w:bCs/>
        </w:rPr>
        <w:t xml:space="preserve">Failure to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8"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5%</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Quizzes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30%</w:t>
            </w:r>
          </w:p>
        </w:tc>
      </w:tr>
      <w:tr>
        <w:tc>
          <w:tcPr/>
          <w:p>
            <w:pPr>
              <w:pStyle w:val="Compact"/>
              <w:jc w:val="left"/>
            </w:pPr>
            <w:r>
              <w:t xml:space="preserve">Term Project</w:t>
            </w:r>
          </w:p>
        </w:tc>
        <w:tc>
          <w:tcPr/>
          <w:p>
            <w:pPr>
              <w:pStyle w:val="Compact"/>
              <w:jc w:val="right"/>
            </w:pPr>
            <w:r>
              <w:t xml:space="preserve">30%</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participation"/>
    <w:p>
      <w:pPr>
        <w:pStyle w:val="Heading3"/>
      </w:pPr>
      <w:r>
        <w:t xml:space="preserve">Participation</w:t>
      </w:r>
    </w:p>
    <w:p>
      <w:pPr>
        <w:pStyle w:val="FirstParagraph"/>
      </w:pPr>
      <w:r>
        <w:t xml:space="preserve">Students will be assessed based on their participation across class activities, including lectures and discussions (in-person and online). Routine lack of attendance or engagement will result in the loss of participation points.</w:t>
      </w:r>
    </w:p>
    <w:bookmarkEnd w:id="82"/>
    <w:bookmarkStart w:id="83" w:name="readings"/>
    <w:p>
      <w:pPr>
        <w:pStyle w:val="Heading3"/>
      </w:pPr>
      <w:r>
        <w:t xml:space="preserve">Readings</w:t>
      </w:r>
    </w:p>
    <w:p>
      <w:pPr>
        <w:pStyle w:val="FirstParagraph"/>
      </w:pPr>
      <w:r>
        <w:t xml:space="preserve">Readings will be assigned for discussion throughout the semester. We will discuss the readings in class the subsequent week after they are assigned. One student will be asked to briefly summarize the reading before the broader discussion. Collaborative annotation assignments will be set up in Canvas to facilitate reading ahead of the discussion. Students in BEE 5850 should also submit a (maximum) one-page summary of the reading, highlighting its key point(s) and their assessment of the effectiveness of the argument, to Gradescope before the Monday after the reading is assigned. Students will be evaluated on both the extent to which their annotations and summaries reflect engagement with the reading and their participation in the class discussion.</w:t>
      </w:r>
    </w:p>
    <w:bookmarkEnd w:id="83"/>
    <w:bookmarkStart w:id="84" w:name="quizzes"/>
    <w:p>
      <w:pPr>
        <w:pStyle w:val="Heading3"/>
      </w:pPr>
      <w:r>
        <w:t xml:space="preserve">Quizzes</w:t>
      </w:r>
    </w:p>
    <w:p>
      <w:pPr>
        <w:pStyle w:val="FirstParagraph"/>
      </w:pPr>
      <w:r>
        <w:t xml:space="preserve">Quizzes will be assigned in Gradescope most weeks based on recently discussed content. These will be relatively short and are intended to consolidate material recently discussed in class. The quizzes will be released after Wednesday’s class and will be due prior to next Monday’s. Quizzes can be retaken as many times as are desired prior to the submission deadline. They may consist of multiple choice questions or questions involving small mathematical, computational, or open-ended problems.</w:t>
      </w:r>
    </w:p>
    <w:bookmarkEnd w:id="84"/>
    <w:bookmarkStart w:id="85"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(2-3 pages) analyzing the hypotheses and statistical choices. Students should feel free to select their own paper or can work with Prof. Srikrishnan to identify one of interest, but in all cases should discuss with Prof. Srikrishnan to ensure that the article is appropriate. The discussion paper will be due towards at the end of the semester.</w:t>
      </w:r>
    </w:p>
    <w:bookmarkEnd w:id="85"/>
    <w:bookmarkStart w:id="86"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Homework problems will generally involve more substantial mathematical or computational work than the quiz problems.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6"/>
    <w:bookmarkStart w:id="87"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final presentation and report. The report should be no more than 5 pages (11 point font, 1 inch margins), not including references and figures. The presentation should be no more than 10 minutes and will be delivered in-class; presentations may be spread across multiple class periods if the number of projects requires it. More details and rubrics will be provided later in the semester.</w:t>
      </w:r>
    </w:p>
    <w:bookmarkEnd w:id="87"/>
    <w:bookmarkEnd w:id="88"/>
    <w:bookmarkStart w:id="89"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02-03</w:t>
            </w:r>
          </w:p>
        </w:tc>
        <w:tc>
          <w:tcPr/>
          <w:p>
            <w:pPr>
              <w:pStyle w:val="Compact"/>
              <w:jc w:val="left"/>
            </w:pPr>
            <w:r>
              <w:t xml:space="preserve">Mon</w:t>
            </w:r>
          </w:p>
        </w:tc>
        <w:tc>
          <w:tcPr/>
          <w:p>
            <w:pPr>
              <w:pStyle w:val="Compact"/>
              <w:jc w:val="left"/>
            </w:pPr>
            <w:r>
              <w:rPr>
                <w:b/>
                <w:bCs/>
                <w:i/>
                <w:iCs/>
              </w:rPr>
              <w:t xml:space="preserve">Probability Fundamentals</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Fitting Models to Data</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Bayesian Statistics</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Autocorrelation and Time Series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Markov Chain Monte Carlo</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Calibration and Sharpness</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Overfitting and Cross-Validation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and Model Comparison</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Information Criteria II</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Mixture Models and Clustering</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Gaussian Processes</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 II</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Causal Modeling</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36" Target="https://bee4850.viveks.me"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36" Target="https://bee4850.viveks.me"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2025-06-12T09:00:19Z</dcterms:created>
  <dcterms:modified xsi:type="dcterms:W3CDTF">2025-06-12T09:00:19Z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lia">
    <vt:lpwstr/>
  </property>
  <property fmtid="{D5CDD505-2E9C-101B-9397-08002B2CF9AE}" pid="10" name="labels">
    <vt:lpwstr/>
  </property>
  <property fmtid="{D5CDD505-2E9C-101B-9397-08002B2CF9AE}" pid="11" name="subtitle">
    <vt:lpwstr>Spring 2025</vt:lpwstr>
  </property>
  <property fmtid="{D5CDD505-2E9C-101B-9397-08002B2CF9AE}" pid="12" name="toc-title">
    <vt:lpwstr>Table of contents</vt:lpwstr>
  </property>
</Properties>
</file>