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Асимметричная реакция кредитных ставок на инфляцию в Казахстане</w:t>
      </w:r>
    </w:p>
    <w:p>
      <w:r>
        <w:t>Отчёт по практическому заданию по финтеху • Вариант 6</w:t>
      </w:r>
    </w:p>
    <w:p>
      <w:r>
        <w:t>Выполнили: Азиров Марат, Джанбулганов Асанали, Таубаев Арсен</w:t>
      </w:r>
    </w:p>
    <w:p>
      <w:pPr>
        <w:pStyle w:val="Heading1"/>
      </w:pPr>
      <w:r>
        <w:t>Цель и основные результаты</w:t>
      </w:r>
    </w:p>
    <w:p>
      <w:r>
        <w:t>Мы исследовали, различается ли реакция ставок новых кредитов на рост и снижение инфляции, и сравнили линейные модели с градиентным бустингом. Анализ выполнен отдельно для бизнеса и физических лиц на месячных данных Казахстана за 2016–2025 годы. Отчёт отражает исправленный расчёт из results/reproduced репозитория fintech-nbk-rates.</w:t>
      </w:r>
    </w:p>
    <w:p>
      <w:r>
        <w:t>Задача связана с темой диплома о повышении доходности активных операций коммерческого банка: прогноз ставок может использоваться при обсуждении кредитной политики. Однако ставка нового кредита не равна доходности активов. Для расчёта прибыли дополнительно нужны стоимость фондирования, объёмы выдач, кредитные потери и операционные расходы.</w:t>
      </w:r>
    </w:p>
    <w:p>
      <w:r>
        <w:t>По минимальной RMSE на валидации для обеих групп выбран LightGBM. На тесте RMSE составила 0,3069 п.п. для бизнеса и 1,2652 п.п. для физических лиц; R² — −0,0539 и −0,0188. Выбранный бустинг уступил асимметричной OLS у бизнеса и нулевому прогнозу у физлиц. Результаты не подтверждают высокую прогнозную точность.</w:t>
      </w:r>
    </w:p>
    <w:p>
      <w:r>
        <w:t>Тест Вальда не выявил статистически значимого различия коэффициентов реакции на рост и снижение инфляции при уровне значимости 5%. Это означает недостаток оснований отвергнуть симметрию в данной спецификации, а не доказательство одинаковой реакции банков.</w:t>
      </w:r>
    </w:p>
    <w:p>
      <w:pPr>
        <w:pStyle w:val="Heading1"/>
      </w:pPr>
      <w:r>
        <w:t>Логика исследования</w:t>
      </w:r>
    </w:p>
    <w:p>
      <w:r>
        <w:t>Работа включает подготовку данных и исследовательский анализ, создание признаков и базовых регрессий, настройку LightGBM, затем итоговую оценку, проверку асимметрии и интерпретацию SHAP. Модели сравниваются на одинаковых временных отрезках; случайное перемешивание месяцев не применяется.</w:t>
      </w:r>
    </w:p>
    <w:p>
      <w:pPr>
        <w:pStyle w:val="Heading1"/>
        <w:pageBreakBefore/>
      </w:pPr>
      <w:r>
        <w:t>1 Данные и исследовательский анализ</w:t>
      </w:r>
    </w:p>
    <w:p>
      <w:r>
        <w:t>Использован файл NBK_BNS_variant6_2016_2025.csv: 120 месячных наблюдений и восемь столбцов. Кредитные ставки и базовая ставка относятся к данным Национального Банка Казахстана, инфляция — к данным Бюро национальной статистики. Месяц в таблице обозначает период наблюдения, а не дату публикации.</w:t>
      </w:r>
    </w:p>
    <w:tbl>
      <w:tblPr>
        <w:tblW w:type="auto" w:w="0"/>
        <w:tblLayout w:type="fixed"/>
        <w:tblLook w:firstColumn="1" w:firstRow="1" w:lastColumn="0" w:lastRow="0" w:noHBand="0" w:noVBand="1" w:val="04A0"/>
      </w:tblPr>
      <w:tblGrid>
        <w:gridCol w:w="3024"/>
        <w:gridCol w:w="6624"/>
      </w:tblGrid>
      <w:tr>
        <w:tc>
          <w:tcPr>
            <w:tcW w:type="dxa" w:w="3024"/>
            <w:tcBorders>
              <w:top w:val="single" w:sz="4" w:color="D9D9D9"/>
              <w:left w:val="single" w:sz="4" w:color="D9D9D9"/>
              <w:bottom w:val="single" w:sz="4" w:color="D9D9D9"/>
              <w:right w:val="single" w:sz="4" w:color="D9D9D9"/>
            </w:tcBorders>
            <w:shd w:fill="E7EDF3"/>
            <w:tcBorders>
              <w:top w:val="single" w:sz="4" w:color="D9D9D9"/>
              <w:left w:val="single" w:sz="4" w:color="D9D9D9"/>
              <w:bottom w:val="single" w:sz="4" w:color="D9D9D9"/>
              <w:right w:val="single" w:sz="4" w:color="D9D9D9"/>
            </w:tcBorders>
            <w:shd w:fill="E7EEF5"/>
          </w:tcPr>
          <w:p>
            <w:pPr>
              <w:spacing w:after="100" w:before="100"/>
            </w:pPr>
            <w:r>
              <w:rPr>
                <w:b/>
                <w:color w:val="000000"/>
                <w:sz w:val="18"/>
              </w:rPr>
              <w:t>Поле</w:t>
            </w:r>
          </w:p>
        </w:tc>
        <w:tc>
          <w:tcPr>
            <w:tcW w:type="dxa" w:w="6624"/>
            <w:tcBorders>
              <w:top w:val="single" w:sz="4" w:color="D9D9D9"/>
              <w:left w:val="single" w:sz="4" w:color="D9D9D9"/>
              <w:bottom w:val="single" w:sz="4" w:color="D9D9D9"/>
              <w:right w:val="single" w:sz="4" w:color="D9D9D9"/>
            </w:tcBorders>
            <w:shd w:fill="E7EDF3"/>
            <w:tcBorders>
              <w:top w:val="single" w:sz="4" w:color="D9D9D9"/>
              <w:left w:val="single" w:sz="4" w:color="D9D9D9"/>
              <w:bottom w:val="single" w:sz="4" w:color="D9D9D9"/>
              <w:right w:val="single" w:sz="4" w:color="D9D9D9"/>
            </w:tcBorders>
            <w:shd w:fill="E7EEF5"/>
          </w:tcPr>
          <w:p>
            <w:pPr>
              <w:spacing w:after="100" w:before="100"/>
            </w:pPr>
            <w:r>
              <w:rPr>
                <w:b/>
                <w:color w:val="000000"/>
                <w:sz w:val="18"/>
              </w:rPr>
              <w:t>Экономическое содержание</w:t>
            </w:r>
          </w:p>
        </w:tc>
      </w:tr>
      <w:tr>
        <w:tc>
          <w:tcPr>
            <w:tcW w:type="dxa" w:w="30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month</w:t>
            </w:r>
          </w:p>
        </w:tc>
        <w:tc>
          <w:tcPr>
            <w:tcW w:type="dxa" w:w="66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Месяц наблюдения</w:t>
            </w:r>
          </w:p>
        </w:tc>
      </w:tr>
      <w:tr>
        <w:tc>
          <w:tcPr>
            <w:tcW w:type="dxa" w:w="30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loan_business_pct</w:t>
            </w:r>
          </w:p>
        </w:tc>
        <w:tc>
          <w:tcPr>
            <w:tcW w:type="dxa" w:w="66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Ставка новых кредитов юридическим лицам в тенге, %</w:t>
            </w:r>
          </w:p>
        </w:tc>
      </w:tr>
      <w:tr>
        <w:tc>
          <w:tcPr>
            <w:tcW w:type="dxa" w:w="30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loan_households_pct</w:t>
            </w:r>
          </w:p>
        </w:tc>
        <w:tc>
          <w:tcPr>
            <w:tcW w:type="dxa" w:w="66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Ставка новых кредитов физлицам, включая ИП, в тенге, %</w:t>
            </w:r>
          </w:p>
        </w:tc>
      </w:tr>
      <w:tr>
        <w:tc>
          <w:tcPr>
            <w:tcW w:type="dxa" w:w="30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inflation_mom_pct</w:t>
            </w:r>
          </w:p>
        </w:tc>
        <w:tc>
          <w:tcPr>
            <w:tcW w:type="dxa" w:w="66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Инфляция к предыдущему месяцу, %</w:t>
            </w:r>
          </w:p>
        </w:tc>
      </w:tr>
      <w:tr>
        <w:tc>
          <w:tcPr>
            <w:tcW w:type="dxa" w:w="30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inflation_yoy_pct</w:t>
            </w:r>
          </w:p>
        </w:tc>
        <w:tc>
          <w:tcPr>
            <w:tcW w:type="dxa" w:w="66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Инфляция к соответствующему месяцу прошлого года, %</w:t>
            </w:r>
          </w:p>
        </w:tc>
      </w:tr>
      <w:tr>
        <w:tc>
          <w:tcPr>
            <w:tcW w:type="dxa" w:w="30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base_rate_pct</w:t>
            </w:r>
          </w:p>
        </w:tc>
        <w:tc>
          <w:tcPr>
            <w:tcW w:type="dxa" w:w="66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Средняя за месяц базовая ставка, %</w:t>
            </w:r>
          </w:p>
        </w:tc>
      </w:tr>
      <w:tr>
        <w:tc>
          <w:tcPr>
            <w:tcW w:type="dxa" w:w="30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Y_business_change_pp</w:t>
            </w:r>
          </w:p>
        </w:tc>
        <w:tc>
          <w:tcPr>
            <w:tcW w:type="dxa" w:w="66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Месячное изменение ставки бизнеса, п.п.</w:t>
            </w:r>
          </w:p>
        </w:tc>
      </w:tr>
      <w:tr>
        <w:tc>
          <w:tcPr>
            <w:tcW w:type="dxa" w:w="30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Y_households_change_pp</w:t>
            </w:r>
          </w:p>
        </w:tc>
        <w:tc>
          <w:tcPr>
            <w:tcW w:type="dxa" w:w="66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Месячное изменение ставки физлиц, п.п.</w:t>
            </w:r>
          </w:p>
        </w:tc>
      </w:tr>
    </w:tbl>
    <w:p/>
    <w:p>
      <w:r>
        <w:t>Цель регрессии — изменение ставки: Yₜ = rₜ − rₜ₋₁. Например, рост ставки с 15 до 16% означает изменение на 1 п.п. Первая разность за январь 2016 года использует декабрь 2015 года из исходной истории. Группа физических лиц включает индивидуальных предпринимателей и поэтому не полностью совпадает с узким понятием домохозяйств.</w:t>
      </w:r>
    </w:p>
    <w:p>
      <w:r>
        <w:t>На этапе EDA проверяются даты, типы данных, пропуски и дубликаты; анализируются описательные статистики, динамика ставок и инфляции, распределения изменений и корреляции. Графики уровней показывают общие тенденции, а графики изменений — краткосрочные колебания. Корреляция характеризует совместное движение и сама по себе не устанавливает причинную связь.</w:t>
      </w:r>
    </w:p>
    <w:p>
      <w:r>
        <w:t>Высокая корреляция уровней может возникать из-за общего тренда и не гарантирует хорошего прогноза месячных изменений. Поэтому факторы не отбираются только ради достижения коэффициента 0,7, а качество оценивается на последующих по времени данных.</w:t>
      </w:r>
    </w:p>
    <w:p>
      <w:pPr>
        <w:pStyle w:val="Heading1"/>
        <w:pageBreakBefore/>
      </w:pPr>
      <w:r>
        <w:t>2 Признаки и базовые модели</w:t>
      </w:r>
    </w:p>
    <w:p>
      <w:r>
        <w:t>Для каждой группы сформированы 16 признаков. Используется информация периода t−2 и более ранняя история. Такой лаг уменьшает риск использования ещё неизвестных текущих показателей, но без календаря публикаций не гарантирует доступность всех данных на момент реального прогноза.</w:t>
      </w:r>
    </w:p>
    <w:tbl>
      <w:tblPr>
        <w:tblW w:type="auto" w:w="0"/>
        <w:tblLayout w:type="fixed"/>
        <w:tblLook w:firstColumn="1" w:firstRow="1" w:lastColumn="0" w:lastRow="0" w:noHBand="0" w:noVBand="1" w:val="04A0"/>
      </w:tblPr>
      <w:tblGrid>
        <w:gridCol w:w="2160"/>
        <w:gridCol w:w="7488"/>
      </w:tblGrid>
      <w:tr>
        <w:tc>
          <w:tcPr>
            <w:tcW w:type="dxa" w:w="2160"/>
            <w:tcBorders>
              <w:top w:val="single" w:sz="4" w:color="D9D9D9"/>
              <w:left w:val="single" w:sz="4" w:color="D9D9D9"/>
              <w:bottom w:val="single" w:sz="4" w:color="D9D9D9"/>
              <w:right w:val="single" w:sz="4" w:color="D9D9D9"/>
            </w:tcBorders>
            <w:shd w:fill="E7EDF3"/>
            <w:tcBorders>
              <w:top w:val="single" w:sz="4" w:color="D9D9D9"/>
              <w:left w:val="single" w:sz="4" w:color="D9D9D9"/>
              <w:bottom w:val="single" w:sz="4" w:color="D9D9D9"/>
              <w:right w:val="single" w:sz="4" w:color="D9D9D9"/>
            </w:tcBorders>
            <w:shd w:fill="E7EEF5"/>
          </w:tcPr>
          <w:p>
            <w:pPr>
              <w:spacing w:after="100" w:before="100"/>
            </w:pPr>
            <w:r>
              <w:rPr>
                <w:b/>
                <w:color w:val="000000"/>
                <w:sz w:val="18"/>
              </w:rPr>
              <w:t>Блок</w:t>
            </w:r>
          </w:p>
        </w:tc>
        <w:tc>
          <w:tcPr>
            <w:tcW w:type="dxa" w:w="7488"/>
            <w:tcBorders>
              <w:top w:val="single" w:sz="4" w:color="D9D9D9"/>
              <w:left w:val="single" w:sz="4" w:color="D9D9D9"/>
              <w:bottom w:val="single" w:sz="4" w:color="D9D9D9"/>
              <w:right w:val="single" w:sz="4" w:color="D9D9D9"/>
            </w:tcBorders>
            <w:shd w:fill="E7EDF3"/>
            <w:tcBorders>
              <w:top w:val="single" w:sz="4" w:color="D9D9D9"/>
              <w:left w:val="single" w:sz="4" w:color="D9D9D9"/>
              <w:bottom w:val="single" w:sz="4" w:color="D9D9D9"/>
              <w:right w:val="single" w:sz="4" w:color="D9D9D9"/>
            </w:tcBorders>
            <w:shd w:fill="E7EEF5"/>
          </w:tcPr>
          <w:p>
            <w:pPr>
              <w:spacing w:after="100" w:before="100"/>
            </w:pPr>
            <w:r>
              <w:rPr>
                <w:b/>
                <w:color w:val="000000"/>
                <w:sz w:val="18"/>
              </w:rPr>
              <w:t>Признаки</w:t>
            </w:r>
          </w:p>
        </w:tc>
      </w:tr>
      <w:tr>
        <w:tc>
          <w:tcPr>
            <w:tcW w:type="dxa" w:w="2160"/>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Инфляция</w:t>
            </w:r>
          </w:p>
        </w:tc>
        <w:tc>
          <w:tcPr>
            <w:tcW w:type="dxa" w:w="748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Годовая и месячная инфляция; изменение годовой инфляции; положительная и отрицательная части изменения; среднее и стандартное отклонение за три месяца</w:t>
            </w:r>
          </w:p>
        </w:tc>
      </w:tr>
      <w:tr>
        <w:tc>
          <w:tcPr>
            <w:tcW w:type="dxa" w:w="2160"/>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Денежная политика</w:t>
            </w:r>
          </w:p>
        </w:tc>
        <w:tc>
          <w:tcPr>
            <w:tcW w:type="dxa" w:w="748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Базовая ставка; её изменение; разность базовой ставки и годовой инфляции</w:t>
            </w:r>
          </w:p>
        </w:tc>
      </w:tr>
      <w:tr>
        <w:tc>
          <w:tcPr>
            <w:tcW w:type="dxa" w:w="2160"/>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Кредитные ставки</w:t>
            </w:r>
          </w:p>
        </w:tc>
        <w:tc>
          <w:tcPr>
            <w:tcW w:type="dxa" w:w="748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pPr>
              <w:spacing w:after="100" w:before="100"/>
            </w:pPr>
            <w:r>
              <w:rPr>
                <w:b w:val="0"/>
                <w:color w:val="000000"/>
                <w:sz w:val="18"/>
              </w:rPr>
              <w:t>Уровень ставки; изменения с лагами 2 и 3; среднее и стандартное отклонение изменений за три месяца; разность кредитной и базовой ставок</w:t>
            </w:r>
          </w:p>
        </w:tc>
      </w:tr>
    </w:tbl>
    <w:p/>
    <w:p>
      <w:r>
        <w:t>Календарное разбиение 70/15/15 даёт 84/18/18 месяцев. После создания лагов исключены начальные строки; декабрь 2022 и июнь 2024 оставлены как временные зазоры. Итог — 79/17/18 наблюдений. Скользящие характеристики рассчитаны по трём месяцам со сдвигом на два. Проверка признаков при добавлении будущих строк контролирует отсутствие прямого использования будущих значений.</w:t>
      </w:r>
    </w:p>
    <w:tbl>
      <w:tblPr>
        <w:tblW w:type="auto" w:w="0"/>
        <w:tblLayout w:type="fixed"/>
        <w:tblLook w:firstColumn="1" w:firstRow="1" w:lastColumn="0" w:lastRow="0" w:noHBand="0" w:noVBand="1" w:val="04A0"/>
      </w:tblPr>
      <w:tblGrid>
        <w:gridCol w:w="1872"/>
        <w:gridCol w:w="5328"/>
        <w:gridCol w:w="2448"/>
      </w:tblGrid>
      <w:tr>
        <w:tc>
          <w:tcPr>
            <w:tcW w:type="dxa" w:w="1872"/>
            <w:tcBorders>
              <w:top w:val="single" w:sz="4" w:color="D9D9D9"/>
              <w:left w:val="single" w:sz="4" w:color="D9D9D9"/>
              <w:bottom w:val="single" w:sz="4" w:color="D9D9D9"/>
              <w:right w:val="single" w:sz="4" w:color="D9D9D9"/>
            </w:tcBorders>
            <w:shd w:fill="E7EDF3"/>
            <w:tcBorders>
              <w:top w:val="single" w:sz="4" w:color="D9D9D9"/>
              <w:left w:val="single" w:sz="4" w:color="D9D9D9"/>
              <w:bottom w:val="single" w:sz="4" w:color="D9D9D9"/>
              <w:right w:val="single" w:sz="4" w:color="D9D9D9"/>
            </w:tcBorders>
            <w:shd w:fill="E7EEF5"/>
          </w:tcPr>
          <w:p>
            <w:pPr>
              <w:spacing w:after="100" w:before="100"/>
            </w:pPr>
            <w:r>
              <w:rPr>
                <w:b/>
                <w:color w:val="000000"/>
                <w:sz w:val="18"/>
              </w:rPr>
              <w:t>Выборка</w:t>
            </w:r>
          </w:p>
        </w:tc>
        <w:tc>
          <w:tcPr>
            <w:tcW w:type="dxa" w:w="5328"/>
            <w:tcBorders>
              <w:top w:val="single" w:sz="4" w:color="D9D9D9"/>
              <w:left w:val="single" w:sz="4" w:color="D9D9D9"/>
              <w:bottom w:val="single" w:sz="4" w:color="D9D9D9"/>
              <w:right w:val="single" w:sz="4" w:color="D9D9D9"/>
            </w:tcBorders>
            <w:shd w:fill="E7EDF3"/>
            <w:tcBorders>
              <w:top w:val="single" w:sz="4" w:color="D9D9D9"/>
              <w:left w:val="single" w:sz="4" w:color="D9D9D9"/>
              <w:bottom w:val="single" w:sz="4" w:color="D9D9D9"/>
              <w:right w:val="single" w:sz="4" w:color="D9D9D9"/>
            </w:tcBorders>
            <w:shd w:fill="E7EEF5"/>
          </w:tcPr>
          <w:p>
            <w:pPr>
              <w:spacing w:after="100" w:before="100"/>
            </w:pPr>
            <w:r>
              <w:rPr>
                <w:b/>
                <w:color w:val="000000"/>
                <w:sz w:val="18"/>
              </w:rPr>
              <w:t>Период</w:t>
            </w:r>
          </w:p>
        </w:tc>
        <w:tc>
          <w:tcPr>
            <w:tcW w:type="dxa" w:w="2448"/>
            <w:tcBorders>
              <w:top w:val="single" w:sz="4" w:color="D9D9D9"/>
              <w:left w:val="single" w:sz="4" w:color="D9D9D9"/>
              <w:bottom w:val="single" w:sz="4" w:color="D9D9D9"/>
              <w:right w:val="single" w:sz="4" w:color="D9D9D9"/>
            </w:tcBorders>
            <w:shd w:fill="E7EDF3"/>
            <w:tcBorders>
              <w:top w:val="single" w:sz="4" w:color="D9D9D9"/>
              <w:left w:val="single" w:sz="4" w:color="D9D9D9"/>
              <w:bottom w:val="single" w:sz="4" w:color="D9D9D9"/>
              <w:right w:val="single" w:sz="4" w:color="D9D9D9"/>
            </w:tcBorders>
            <w:shd w:fill="E7EEF5"/>
          </w:tcPr>
          <w:p>
            <w:pPr>
              <w:spacing w:after="100" w:before="100"/>
            </w:pPr>
            <w:r>
              <w:rPr>
                <w:b/>
                <w:color w:val="000000"/>
                <w:sz w:val="18"/>
              </w:rPr>
              <w:t>Число месяцев</w:t>
            </w:r>
          </w:p>
        </w:tc>
      </w:tr>
      <w:tr>
        <w:tc>
          <w:tcPr>
            <w:tcW w:type="dxa" w:w="1872"/>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Обучение</w:t>
            </w:r>
          </w:p>
        </w:tc>
        <w:tc>
          <w:tcPr>
            <w:tcW w:type="dxa" w:w="53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Май 2016 — ноябрь 2022</w:t>
            </w:r>
          </w:p>
        </w:tc>
        <w:tc>
          <w:tcPr>
            <w:tcW w:type="dxa" w:w="244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79</w:t>
            </w:r>
          </w:p>
        </w:tc>
      </w:tr>
      <w:tr>
        <w:tc>
          <w:tcPr>
            <w:tcW w:type="dxa" w:w="1872"/>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Валидация</w:t>
            </w:r>
          </w:p>
        </w:tc>
        <w:tc>
          <w:tcPr>
            <w:tcW w:type="dxa" w:w="53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Январь 2023 — май 2024</w:t>
            </w:r>
          </w:p>
        </w:tc>
        <w:tc>
          <w:tcPr>
            <w:tcW w:type="dxa" w:w="244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17</w:t>
            </w:r>
          </w:p>
        </w:tc>
      </w:tr>
      <w:tr>
        <w:tc>
          <w:tcPr>
            <w:tcW w:type="dxa" w:w="1872"/>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Тест</w:t>
            </w:r>
          </w:p>
        </w:tc>
        <w:tc>
          <w:tcPr>
            <w:tcW w:type="dxa" w:w="53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Июль 2024 — декабрь 2025</w:t>
            </w:r>
          </w:p>
        </w:tc>
        <w:tc>
          <w:tcPr>
            <w:tcW w:type="dxa" w:w="244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18</w:t>
            </w:r>
          </w:p>
        </w:tc>
      </w:tr>
    </w:tbl>
    <w:p/>
    <w:p>
      <w:r>
        <w:t>Базовый прогноз zero_change предполагает отсутствие изменения ставки. Симметричная OLS использует лаг изменения кредитной ставки, лаг изменения базовой ставки и лаг изменения годовой инфляции. В асимметричной OLS изменение инфляции разделено на положительную и отрицательную части: Δπ⁺ = max(Δπ, 0), Δπ⁻ = min(Δπ, 0).</w:t>
      </w:r>
    </w:p>
    <w:p>
      <w:r>
        <w:t>Асимметричная спецификация имеет вид Yₜ = α + φYₜ₋₂ + γΔbₜ₋₂ + β⁺Δπ⁺ₜ₋₂ + β⁻Δπ⁻ₜ₋₂ + εₜ. Проверяемое ограничение — β⁺ = β⁻. Для статистического вывода применена ковариационная оценка HAC с тремя лагами. Она учитывает возможную гетероскедастичность и временную зависимость ошибок, но не устраняет ошибки спецификации.</w:t>
      </w:r>
    </w:p>
    <w:p>
      <w:pPr>
        <w:pStyle w:val="Heading1"/>
        <w:pageBreakBefore/>
      </w:pPr>
      <w:r>
        <w:t>3 Настройка бустинга и оценка прогноза</w:t>
      </w:r>
    </w:p>
    <w:p>
      <w:r>
        <w:t>LightGBM обучен отдельно для каждой группы на 16 признаках. Проверены четыре комбинации числа листьев, глубины и минимального размера листа. Скорость обучения равна 0,03, максимальное число деревьев — 1000, random_state — 42. Ранняя остановка с ожиданием 50 итераций использует валидационную RMSE.</w:t>
      </w:r>
    </w:p>
    <w:p>
      <w:r>
        <w:t>Для обеих групп выбрана конфигурация с 5 листьями, глубиной 3 и минимумом 15 наблюдений в листе. Лучшая итерация — 11 для бизнеса и 182 для физлиц. Валидационная RMSE равна 0,3633 и 1,6179 п.п. Среди всех сравниваемых моделей по валидации выбран LightGBM. Перед тестированием переобучение на объединённой выборке не проводилось.</w:t>
      </w:r>
    </w:p>
    <w:tbl>
      <w:tblPr>
        <w:tblW w:type="auto" w:w="0"/>
        <w:tblLayout w:type="fixed"/>
        <w:tblLook w:firstColumn="1" w:firstRow="1" w:lastColumn="0" w:lastRow="0" w:noHBand="0" w:noVBand="1" w:val="04A0"/>
      </w:tblPr>
      <w:tblGrid>
        <w:gridCol w:w="4464"/>
        <w:gridCol w:w="1728"/>
        <w:gridCol w:w="1728"/>
        <w:gridCol w:w="1728"/>
      </w:tblGrid>
      <w:tr>
        <w:tc>
          <w:tcPr>
            <w:tcW w:type="dxa" w:w="4464"/>
            <w:tcBorders>
              <w:top w:val="single" w:sz="4" w:color="D9D9D9"/>
              <w:left w:val="single" w:sz="4" w:color="D9D9D9"/>
              <w:bottom w:val="single" w:sz="4" w:color="D9D9D9"/>
              <w:right w:val="single" w:sz="4" w:color="D9D9D9"/>
            </w:tcBorders>
            <w:shd w:fill="E7EDF3"/>
            <w:tcBorders>
              <w:top w:val="single" w:sz="4" w:color="D9D9D9"/>
              <w:left w:val="single" w:sz="4" w:color="D9D9D9"/>
              <w:bottom w:val="single" w:sz="4" w:color="D9D9D9"/>
              <w:right w:val="single" w:sz="4" w:color="D9D9D9"/>
            </w:tcBorders>
            <w:shd w:fill="E7EEF5"/>
          </w:tcPr>
          <w:p>
            <w:pPr>
              <w:spacing w:after="100" w:before="100"/>
            </w:pPr>
            <w:r>
              <w:rPr>
                <w:b/>
                <w:color w:val="000000"/>
                <w:sz w:val="18"/>
              </w:rPr>
              <w:t>Группа и модель</w:t>
            </w:r>
          </w:p>
        </w:tc>
        <w:tc>
          <w:tcPr>
            <w:tcW w:type="dxa" w:w="1728"/>
            <w:tcBorders>
              <w:top w:val="single" w:sz="4" w:color="D9D9D9"/>
              <w:left w:val="single" w:sz="4" w:color="D9D9D9"/>
              <w:bottom w:val="single" w:sz="4" w:color="D9D9D9"/>
              <w:right w:val="single" w:sz="4" w:color="D9D9D9"/>
            </w:tcBorders>
            <w:shd w:fill="E7EDF3"/>
            <w:tcBorders>
              <w:top w:val="single" w:sz="4" w:color="D9D9D9"/>
              <w:left w:val="single" w:sz="4" w:color="D9D9D9"/>
              <w:bottom w:val="single" w:sz="4" w:color="D9D9D9"/>
              <w:right w:val="single" w:sz="4" w:color="D9D9D9"/>
            </w:tcBorders>
            <w:shd w:fill="E7EEF5"/>
          </w:tcPr>
          <w:p>
            <w:pPr>
              <w:spacing w:after="100" w:before="100"/>
            </w:pPr>
            <w:r>
              <w:rPr>
                <w:b/>
                <w:color w:val="000000"/>
                <w:sz w:val="18"/>
              </w:rPr>
              <w:t>RMSE, п.п.</w:t>
            </w:r>
          </w:p>
        </w:tc>
        <w:tc>
          <w:tcPr>
            <w:tcW w:type="dxa" w:w="1728"/>
            <w:tcBorders>
              <w:top w:val="single" w:sz="4" w:color="D9D9D9"/>
              <w:left w:val="single" w:sz="4" w:color="D9D9D9"/>
              <w:bottom w:val="single" w:sz="4" w:color="D9D9D9"/>
              <w:right w:val="single" w:sz="4" w:color="D9D9D9"/>
            </w:tcBorders>
            <w:shd w:fill="E7EDF3"/>
            <w:tcBorders>
              <w:top w:val="single" w:sz="4" w:color="D9D9D9"/>
              <w:left w:val="single" w:sz="4" w:color="D9D9D9"/>
              <w:bottom w:val="single" w:sz="4" w:color="D9D9D9"/>
              <w:right w:val="single" w:sz="4" w:color="D9D9D9"/>
            </w:tcBorders>
            <w:shd w:fill="E7EEF5"/>
          </w:tcPr>
          <w:p>
            <w:pPr>
              <w:spacing w:after="100" w:before="100"/>
            </w:pPr>
            <w:r>
              <w:rPr>
                <w:b/>
                <w:color w:val="000000"/>
                <w:sz w:val="18"/>
              </w:rPr>
              <w:t>MAE, п.п.</w:t>
            </w:r>
          </w:p>
        </w:tc>
        <w:tc>
          <w:tcPr>
            <w:tcW w:type="dxa" w:w="1728"/>
            <w:tcBorders>
              <w:top w:val="single" w:sz="4" w:color="D9D9D9"/>
              <w:left w:val="single" w:sz="4" w:color="D9D9D9"/>
              <w:bottom w:val="single" w:sz="4" w:color="D9D9D9"/>
              <w:right w:val="single" w:sz="4" w:color="D9D9D9"/>
            </w:tcBorders>
            <w:shd w:fill="E7EDF3"/>
            <w:tcBorders>
              <w:top w:val="single" w:sz="4" w:color="D9D9D9"/>
              <w:left w:val="single" w:sz="4" w:color="D9D9D9"/>
              <w:bottom w:val="single" w:sz="4" w:color="D9D9D9"/>
              <w:right w:val="single" w:sz="4" w:color="D9D9D9"/>
            </w:tcBorders>
            <w:shd w:fill="E7EEF5"/>
          </w:tcPr>
          <w:p>
            <w:pPr>
              <w:spacing w:after="100" w:before="100"/>
            </w:pPr>
            <w:r>
              <w:rPr>
                <w:b/>
                <w:color w:val="000000"/>
                <w:sz w:val="18"/>
              </w:rPr>
              <w:t>R²</w:t>
            </w:r>
          </w:p>
        </w:tc>
      </w:tr>
      <w:tr>
        <w:tc>
          <w:tcPr>
            <w:tcW w:type="dxa" w:w="446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Бизнес — нулевой прогноз</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0,3163</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0,2533</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−0,1196</w:t>
            </w:r>
          </w:p>
        </w:tc>
      </w:tr>
      <w:tr>
        <w:tc>
          <w:tcPr>
            <w:tcW w:type="dxa" w:w="446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Бизнес — симметричная OLS</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0,3040</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0,2459</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−0,0337</w:t>
            </w:r>
          </w:p>
        </w:tc>
      </w:tr>
      <w:tr>
        <w:tc>
          <w:tcPr>
            <w:tcW w:type="dxa" w:w="446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Бизнес — асимметричная OLS</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0,2996</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0,2438</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−0,0044</w:t>
            </w:r>
          </w:p>
        </w:tc>
      </w:tr>
      <w:tr>
        <w:tc>
          <w:tcPr>
            <w:tcW w:type="dxa" w:w="446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Бизнес — LightGBM *</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0,3069</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0,2476</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−0,0539</w:t>
            </w:r>
          </w:p>
        </w:tc>
      </w:tr>
      <w:tr>
        <w:tc>
          <w:tcPr>
            <w:tcW w:type="dxa" w:w="446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Физлица — нулевой прогноз</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1,2561</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0,9570</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−0,0040</w:t>
            </w:r>
          </w:p>
        </w:tc>
      </w:tr>
      <w:tr>
        <w:tc>
          <w:tcPr>
            <w:tcW w:type="dxa" w:w="446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Физлица — симметричная OLS</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1,3125</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1,1387</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−0,0963</w:t>
            </w:r>
          </w:p>
        </w:tc>
      </w:tr>
      <w:tr>
        <w:tc>
          <w:tcPr>
            <w:tcW w:type="dxa" w:w="446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Физлица — асимметричная OLS</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1,3051</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1,1263</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−0,0840</w:t>
            </w:r>
          </w:p>
        </w:tc>
      </w:tr>
      <w:tr>
        <w:tc>
          <w:tcPr>
            <w:tcW w:type="dxa" w:w="446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Физлица — LightGBM *</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1,2652</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1,0656</w:t>
            </w:r>
          </w:p>
        </w:tc>
        <w:tc>
          <w:tcPr>
            <w:tcW w:type="dxa" w:w="1728"/>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−0,0188</w:t>
            </w:r>
          </w:p>
        </w:tc>
      </w:tr>
    </w:tbl>
    <w:p/>
    <w:p>
      <w:r>
        <w:t>* Модель выбрана по валидации. Таблица показывает тестовый период, а не результаты обучения. RMSE сильнее штрафует крупные ошибки, MAE показывает среднюю абсолютную ошибку. Отрицательный R² означает результат хуже постоянного прогноза, равного среднему фактической цели на тесте.</w:t>
      </w:r>
    </w:p>
    <w:p>
      <w:r>
        <w:t>На тесте асимметричная OLS немного лучше симметричной в обеих группах, но это не доказывает асимметрию. У бизнеса её RMSE 0,2996 ниже ошибки выбранного LightGBM 0,3069. У физлиц нулевой прогноз даёт 1,2561 против 1,2652 у LightGBM. Победителей после просмотра теста не меняем: тест служит оценкой заранее выбранных моделей.</w:t>
      </w:r>
    </w:p>
    <w:p>
      <w:pPr>
        <w:pStyle w:val="Heading1"/>
        <w:pageBreakBefore/>
      </w:pPr>
      <w:r>
        <w:t>4 Асимметрия и интерпретация SHAP</w:t>
      </w:r>
    </w:p>
    <w:tbl>
      <w:tblPr>
        <w:tblW w:type="auto" w:w="0"/>
        <w:tblLayout w:type="fixed"/>
        <w:tblLook w:firstColumn="1" w:firstRow="1" w:lastColumn="0" w:lastRow="0" w:noHBand="0" w:noVBand="1" w:val="04A0"/>
      </w:tblPr>
      <w:tblGrid>
        <w:gridCol w:w="2304"/>
        <w:gridCol w:w="2160"/>
        <w:gridCol w:w="2160"/>
        <w:gridCol w:w="3024"/>
      </w:tblGrid>
      <w:tr>
        <w:tc>
          <w:tcPr>
            <w:tcW w:type="dxa" w:w="2304"/>
            <w:tcBorders>
              <w:top w:val="single" w:sz="4" w:color="D9D9D9"/>
              <w:left w:val="single" w:sz="4" w:color="D9D9D9"/>
              <w:bottom w:val="single" w:sz="4" w:color="D9D9D9"/>
              <w:right w:val="single" w:sz="4" w:color="D9D9D9"/>
            </w:tcBorders>
            <w:shd w:fill="E7EDF3"/>
            <w:tcBorders>
              <w:top w:val="single" w:sz="4" w:color="D9D9D9"/>
              <w:left w:val="single" w:sz="4" w:color="D9D9D9"/>
              <w:bottom w:val="single" w:sz="4" w:color="D9D9D9"/>
              <w:right w:val="single" w:sz="4" w:color="D9D9D9"/>
            </w:tcBorders>
            <w:shd w:fill="E7EEF5"/>
          </w:tcPr>
          <w:p>
            <w:pPr>
              <w:spacing w:after="100" w:before="100"/>
            </w:pPr>
            <w:r>
              <w:rPr>
                <w:b/>
                <w:color w:val="000000"/>
                <w:sz w:val="18"/>
              </w:rPr>
              <w:t>Группа</w:t>
            </w:r>
          </w:p>
        </w:tc>
        <w:tc>
          <w:tcPr>
            <w:tcW w:type="dxa" w:w="2160"/>
            <w:tcBorders>
              <w:top w:val="single" w:sz="4" w:color="D9D9D9"/>
              <w:left w:val="single" w:sz="4" w:color="D9D9D9"/>
              <w:bottom w:val="single" w:sz="4" w:color="D9D9D9"/>
              <w:right w:val="single" w:sz="4" w:color="D9D9D9"/>
            </w:tcBorders>
            <w:shd w:fill="E7EDF3"/>
            <w:tcBorders>
              <w:top w:val="single" w:sz="4" w:color="D9D9D9"/>
              <w:left w:val="single" w:sz="4" w:color="D9D9D9"/>
              <w:bottom w:val="single" w:sz="4" w:color="D9D9D9"/>
              <w:right w:val="single" w:sz="4" w:color="D9D9D9"/>
            </w:tcBorders>
            <w:shd w:fill="E7EEF5"/>
          </w:tcPr>
          <w:p>
            <w:pPr>
              <w:spacing w:after="100" w:before="100"/>
            </w:pPr>
            <w:r>
              <w:rPr>
                <w:b/>
                <w:color w:val="000000"/>
                <w:sz w:val="18"/>
              </w:rPr>
              <w:t>β⁺</w:t>
            </w:r>
          </w:p>
        </w:tc>
        <w:tc>
          <w:tcPr>
            <w:tcW w:type="dxa" w:w="2160"/>
            <w:tcBorders>
              <w:top w:val="single" w:sz="4" w:color="D9D9D9"/>
              <w:left w:val="single" w:sz="4" w:color="D9D9D9"/>
              <w:bottom w:val="single" w:sz="4" w:color="D9D9D9"/>
              <w:right w:val="single" w:sz="4" w:color="D9D9D9"/>
            </w:tcBorders>
            <w:shd w:fill="E7EDF3"/>
            <w:tcBorders>
              <w:top w:val="single" w:sz="4" w:color="D9D9D9"/>
              <w:left w:val="single" w:sz="4" w:color="D9D9D9"/>
              <w:bottom w:val="single" w:sz="4" w:color="D9D9D9"/>
              <w:right w:val="single" w:sz="4" w:color="D9D9D9"/>
            </w:tcBorders>
            <w:shd w:fill="E7EEF5"/>
          </w:tcPr>
          <w:p>
            <w:pPr>
              <w:spacing w:after="100" w:before="100"/>
            </w:pPr>
            <w:r>
              <w:rPr>
                <w:b/>
                <w:color w:val="000000"/>
                <w:sz w:val="18"/>
              </w:rPr>
              <w:t>β⁻</w:t>
            </w:r>
          </w:p>
        </w:tc>
        <w:tc>
          <w:tcPr>
            <w:tcW w:type="dxa" w:w="3024"/>
            <w:tcBorders>
              <w:top w:val="single" w:sz="4" w:color="D9D9D9"/>
              <w:left w:val="single" w:sz="4" w:color="D9D9D9"/>
              <w:bottom w:val="single" w:sz="4" w:color="D9D9D9"/>
              <w:right w:val="single" w:sz="4" w:color="D9D9D9"/>
            </w:tcBorders>
            <w:shd w:fill="E7EDF3"/>
            <w:tcBorders>
              <w:top w:val="single" w:sz="4" w:color="D9D9D9"/>
              <w:left w:val="single" w:sz="4" w:color="D9D9D9"/>
              <w:bottom w:val="single" w:sz="4" w:color="D9D9D9"/>
              <w:right w:val="single" w:sz="4" w:color="D9D9D9"/>
            </w:tcBorders>
            <w:shd w:fill="E7EEF5"/>
          </w:tcPr>
          <w:p>
            <w:pPr>
              <w:spacing w:after="100" w:before="100"/>
            </w:pPr>
            <w:r>
              <w:rPr>
                <w:b/>
                <w:color w:val="000000"/>
                <w:sz w:val="18"/>
              </w:rPr>
              <w:t>p-value Вальда</w:t>
            </w:r>
          </w:p>
        </w:tc>
      </w:tr>
      <w:tr>
        <w:tc>
          <w:tcPr>
            <w:tcW w:type="dxa" w:w="230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Бизнес</w:t>
            </w:r>
          </w:p>
        </w:tc>
        <w:tc>
          <w:tcPr>
            <w:tcW w:type="dxa" w:w="2160"/>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0,1827</w:t>
            </w:r>
          </w:p>
        </w:tc>
        <w:tc>
          <w:tcPr>
            <w:tcW w:type="dxa" w:w="2160"/>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0,0628</w:t>
            </w:r>
          </w:p>
        </w:tc>
        <w:tc>
          <w:tcPr>
            <w:tcW w:type="dxa" w:w="30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0,6318</w:t>
            </w:r>
          </w:p>
        </w:tc>
      </w:tr>
      <w:tr>
        <w:tc>
          <w:tcPr>
            <w:tcW w:type="dxa" w:w="230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Физлица</w:t>
            </w:r>
          </w:p>
        </w:tc>
        <w:tc>
          <w:tcPr>
            <w:tcW w:type="dxa" w:w="2160"/>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−0,2562</w:t>
            </w:r>
          </w:p>
        </w:tc>
        <w:tc>
          <w:tcPr>
            <w:tcW w:type="dxa" w:w="2160"/>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0,0746</w:t>
            </w:r>
          </w:p>
        </w:tc>
        <w:tc>
          <w:tcPr>
            <w:tcW w:type="dxa" w:w="3024"/>
            <w:tcBorders>
              <w:top w:val="single" w:sz="4" w:color="D9D9D9"/>
              <w:left w:val="single" w:sz="4" w:color="D9D9D9"/>
              <w:bottom w:val="single" w:sz="4" w:color="D9D9D9"/>
              <w:right w:val="single" w:sz="4" w:color="D9D9D9"/>
            </w:tcBorders>
            <w:tcBorders>
              <w:top w:val="single" w:sz="4" w:color="D9D9D9"/>
              <w:left w:val="single" w:sz="4" w:color="D9D9D9"/>
              <w:bottom w:val="single" w:sz="4" w:color="D9D9D9"/>
              <w:right w:val="single" w:sz="4" w:color="D9D9D9"/>
            </w:tcBorders>
          </w:tcPr>
          <w:p>
            <w:r>
              <w:rPr>
                <w:color w:val="000000"/>
                <w:sz w:val="18"/>
              </w:rPr>
              <w:t>0,1305</w:t>
            </w:r>
          </w:p>
        </w:tc>
      </w:tr>
    </w:tbl>
    <w:p/>
    <w:p>
      <w:r>
        <w:t>Тест Вальда рассчитан на обучающей выборке. В обеих группах p-value выше 0,05: нулевая гипотеза равенства коэффициентов не отвергается. Отрицательная часть изменения инфляции сохраняет свой знак; её коэффициент нельзя трактовать как эффект положительной величины снижения без учёта этого определения.</w:t>
      </w:r>
    </w:p>
    <w:p>
      <w:r>
        <w:drawing>
          <wp:inline xmlns:a="http://schemas.openxmlformats.org/drawingml/2006/main" xmlns:pic="http://schemas.openxmlformats.org/drawingml/2006/picture">
            <wp:extent cx="4846320" cy="32308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846320" cy="3230880"/>
                    </a:xfrm>
                    <a:prstGeom prst="rect"/>
                  </pic:spPr>
                </pic:pic>
              </a:graphicData>
            </a:graphic>
          </wp:inline>
        </w:drawing>
      </w:r>
    </w:p>
    <w:p>
      <w:pPr>
        <w:spacing w:after="120"/>
      </w:pPr>
      <w:r>
        <w:rPr>
          <w:i/>
          <w:sz w:val="20"/>
        </w:rPr>
        <w:t>Рисунок 1. Фактические изменения ставок и прогнозы выбранных моделей на тестовом периоде.</w:t>
      </w:r>
    </w:p>
    <w:p>
      <w:r>
        <w:t>Графики показывают расхождения между фактическими изменениями ставок и прогнозами LightGBM. У бизнеса прогноз имеет небольшой диапазон колебаний; у физлиц сохраняются крупные ошибки. Модели не воспроизводят все месячные скачки.</w:t>
      </w:r>
    </w:p>
    <w:p>
      <w:r>
        <w:t>SHAP раскладывает прогноз модели на базовое значение и вклады признаков. Положительный вклад повышает прогноз изменения ставки, отрицательный — снижает. Итоговая величина относится к изменению в процентных пунктах, а не к уровню кредитной ставки. В проекте сохранены общие графики LightGBM и разборы трёх тестовых месяцев: июля 2024, апреля и декабря 2025 года.</w:t>
      </w:r>
    </w:p>
    <w:p>
      <w:r>
        <w:t>В трёх локальных разборах для бизнеса ведущие вклады составляют −0,0209 п.п. от волатильности изменений ставки в июле 2024, +0,0550 от неё же в апреле 2025 и +0,0379 от изменения ставки с лагом 3 в декабре 2025. У физлиц ведущие вклады равны −0,1657 и −0,2287 от среднего изменения ставки, затем −0,1241 от изменения с лагом 2. Это вклады в прогноз, а не причинные эффекты.</w:t>
      </w:r>
    </w:p>
    <w:p>
      <w:pPr>
        <w:pStyle w:val="Heading1"/>
        <w:pageBreakBefore/>
      </w:pPr>
      <w:r>
        <w:t>5 Устойчивость и практические выводы</w:t>
      </w:r>
    </w:p>
    <w:p>
      <w:r>
        <w:drawing>
          <wp:inline xmlns:a="http://schemas.openxmlformats.org/drawingml/2006/main" xmlns:pic="http://schemas.openxmlformats.org/drawingml/2006/picture">
            <wp:extent cx="5029200" cy="3479575"/>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479575"/>
                    </a:xfrm>
                    <a:prstGeom prst="rect"/>
                  </pic:spPr>
                </pic:pic>
              </a:graphicData>
            </a:graphic>
          </wp:inline>
        </w:drawing>
      </w:r>
    </w:p>
    <w:p>
      <w:pPr>
        <w:spacing w:after="120"/>
      </w:pPr>
      <w:r>
        <w:rPr>
          <w:i/>
          <w:sz w:val="20"/>
        </w:rPr>
        <w:t>Рисунок 2. SHAP для LightGBM по физическим лицам. По горизонтали — вклад в прогноз; цвет обозначает значение признака.</w:t>
      </w:r>
    </w:p>
    <w:p>
      <w:r>
        <w:t>На сводном графике признаки упорядочены по среднему абсолютному вкладу. Каждая точка соответствует наблюдению. Разброс по горизонтали показывает, насколько вклад признака различается между месяцами. При взаимосвязанных факторах распределение важности между ними следует трактовать осторожно.</w:t>
      </w:r>
    </w:p>
    <w:p>
      <w:r>
        <w:t>PSI сравнивает train и test по границам, заданным на train, с малым сглаживанием долей вместо прежних псевдосчётчиков 0,5. PSI прогнозов: 0,3586 у бизнеса (выше порога 0,25) и 0,1383 у физлиц. Все пять проверенных признаков каждой группы превышают 0,25. У бизнеса ненулевых SHAP-признаков меньше пяти, поэтому список дополнен признаками с нулевой важностью. При 18 тестовых месяцах PSI чувствителен к интервалам и сглаживанию.</w:t>
      </w:r>
    </w:p>
    <w:p>
      <w:r>
        <w:t>Денежный сценарий: MAE / 100 × 1 млрд тенге × 1 год при постоянном условном объёме. Эквивалент годовой ошибки процентного дохода — около 2,48 млн тенге у бизнеса и 10,66 млн тенге у физлиц. Это масштаб ошибки ставки, а не фактические потери или дополнительная прибыль банка.</w:t>
      </w:r>
    </w:p>
    <w:p>
      <w:r>
        <w:t>Практический вывод: использовать эти модели как вспомогательный ориентир, сравнивать их с простым прогнозом и контролировать ошибки отдельно по группам заёмщиков. До применения в ценообразовании необходимо учитывать фондирование, риск дефолта, структуру кредитов и изменение спроса. Полученные результаты не обосновывают автоматическое повышение или снижение ставок.</w:t>
      </w:r>
    </w:p>
    <w:p>
      <w:pPr>
        <w:pStyle w:val="Heading1"/>
        <w:pageBreakBefore/>
      </w:pPr>
      <w:r>
        <w:t>6 Ограничения и воспроизводимость</w:t>
      </w:r>
    </w:p>
    <w:p>
      <w:r>
        <w:t>Период 2016–2025 короче указанного в варианте периода 2010–2025. Базовая ставка введена в 2015 году, поэтому расширение выборки требует отдельного решения о сопоставимости показателей. Сокращение периода необходимо согласовать с преподавателем; оно не становится выполнением требования автоматически.</w:t>
      </w:r>
    </w:p>
    <w:p>
      <w:r>
        <w:t>Календарь публикаций и исторические версии данных не восстановлены. Лаг t−2 и временные зазоры уменьшают риск утечки, но не подтверждают фактическую доступность всех данных. Это ретроспективный эксперимент. Тестовый период уже просматривался в предыдущих расчётах; повторный запуск не является новой независимой оценкой.</w:t>
      </w:r>
    </w:p>
    <w:p>
      <w:r>
        <w:t>Малое число наблюдений ограничивает мощность теста Вальда и надёжность бустинга. Высокий R² не достигнут. Успешное выполнение блокнотов подтверждает работоспособность в использованной среде, но не устраняет методологические ограничения.</w:t>
      </w:r>
    </w:p>
    <w:p>
      <w:pPr>
        <w:pStyle w:val="Heading1"/>
      </w:pPr>
      <w:r>
        <w:t>Как воспроизвести расчёты</w:t>
      </w:r>
    </w:p>
    <w:p>
      <w:r>
        <w:t>Репозиторий: https://github.com/BEJLIKAN/fintech-nbk-rates. Основной проверенный путь — выполнить 01–04 из notebooks в Colab. Из 03 скачивается stage3_results.zip и загружается в 04 через предусмотренную ячейку. В рабочей среде Python 3.13.16; версии библиотек записаны в requirements.txt. Установка этих зависимостей в чистую среду отдельно не проверена. Для локального запуска предусмотрен python run.py.</w:t>
      </w:r>
    </w:p>
    <w:p>
      <w:r>
        <w:t>В src находятся общие функции. config.yaml фиксирует настройки, model.pkl содержит модели, predict.py предоставляет predict(df). Нужна непрерывная месячная история; первые четыре строки не имеют достаточных лагов. Актуальные результаты находятся в results/reproduced, прежние — в results/original.</w:t>
      </w:r>
    </w:p>
    <w:p>
      <w:pPr>
        <w:pStyle w:val="Heading1"/>
      </w:pPr>
      <w:r>
        <w:t>Источники и материалы</w:t>
      </w:r>
    </w:p>
    <w:p>
      <w:r>
        <w:t>1. Национальный Банк Республики Казахстан: https://data.nationalbank.kz/ — кредитные и базовая ставки.</w:t>
        <w:br/>
        <w:t>2. Бюро национальной статистики: https://stat.gov.kz/ — индекс потребительских цен.</w:t>
        <w:br/>
        <w:t>3. Таблицы ИПЦ из README: https://stat.gov.kz/api/iblock/element/1550/file/ru/ и https://stat.gov.kz/api/iblock/element/14511/file/ru/.</w:t>
        <w:br/>
        <w:t>4. Расчёты: test_metrics.csv, wald_train.csv, psi_results.csv, three_cases_per_group.csv, scenario_money_equivalent.csv и графики в results/reproduced/stage4_results. Значения округлены; полные результаты сохранены в CSV.</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