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3200400"/>
            <wp:docPr id="1" name="Picture 1"/>
            <wp:cNvGraphicFramePr>
              <a:graphicFrameLocks noChangeAspect="1"/>
            </wp:cNvGraphicFramePr>
            <a:graphic>
              <a:graphicData uri="http://schemas.openxmlformats.org/drawingml/2006/picture">
                <pic:pic>
                  <pic:nvPicPr>
                    <pic:cNvPr id="0" name="a_sleek_high_end_corporate_tech_branding_scene_a.png"/>
                    <pic:cNvPicPr/>
                  </pic:nvPicPr>
                  <pic:blipFill>
                    <a:blip r:embed="rId9"/>
                    <a:stretch>
                      <a:fillRect/>
                    </a:stretch>
                  </pic:blipFill>
                  <pic:spPr>
                    <a:xfrm>
                      <a:off x="0" y="0"/>
                      <a:ext cx="6400800" cy="3200400"/>
                    </a:xfrm>
                    <a:prstGeom prst="rect"/>
                  </pic:spPr>
                </pic:pic>
              </a:graphicData>
            </a:graphic>
          </wp:inline>
        </w:drawing>
      </w:r>
    </w:p>
    <w:p>
      <w:pPr>
        <w:jc w:val="right"/>
        <w:bidi w:val="1"/>
      </w:pPr>
      <w:r>
        <w:rPr>
          <w:b/>
          <w:color w:val="0B1F36"/>
          <w:sz w:val="48"/>
        </w:rPr>
        <w:t>GLASIO — כיוון מותג ועיצוב</w:t>
      </w:r>
    </w:p>
    <w:p>
      <w:pPr>
        <w:jc w:val="right"/>
        <w:bidi w:val="1"/>
      </w:pPr>
      <w:r>
        <w:rPr>
          <w:color w:val="66788A"/>
          <w:sz w:val="22"/>
        </w:rPr>
        <w:t>מסמך כיוון עבור Claude — לא מפרט UI ולא הוראות ביצוע</w:t>
      </w:r>
    </w:p>
    <w:p>
      <w:pPr>
        <w:jc w:val="right"/>
        <w:bidi w:val="1"/>
      </w:pPr>
      <w:r>
        <w:rPr>
          <w:b/>
          <w:color w:val="0B1F36"/>
          <w:sz w:val="32"/>
        </w:rPr>
        <w:t>מטרת המסמך</w:t>
      </w:r>
    </w:p>
    <w:p>
      <w:pPr>
        <w:jc w:val="right"/>
        <w:bidi w:val="1"/>
      </w:pPr>
      <w:r>
        <w:t>המסמך מגדיר רק את הזהות והכיוון הוויזואלי הרצוי ל‑GLASIO. יש להשתמש בו כ‑visual direction בלבד, תוך שמירה על שיטת העבודה, חוקי העיצוב וה‑skill הקיים שלך. אין לראות בדוגמאות המצורפות הוראה להעתיק פריסה, ניווט, רכיבים או UX מסוים.</w:t>
      </w:r>
    </w:p>
    <w:p>
      <w:pPr>
        <w:jc w:val="right"/>
        <w:bidi w:val="1"/>
      </w:pPr>
      <w:r>
        <w:rPr>
          <w:b/>
          <w:color w:val="0B1F36"/>
          <w:sz w:val="32"/>
        </w:rPr>
        <w:t>פלטת הצבעים</w:t>
      </w:r>
    </w:p>
    <w:tbl>
      <w:tblPr>
        <w:tblW w:type="auto" w:w="0"/>
        <w:tblLayout w:type="fixed"/>
        <w:tblLook w:firstColumn="1" w:firstRow="1" w:lastColumn="0" w:lastRow="0" w:noHBand="0" w:noVBand="1" w:val="04A0"/>
      </w:tblPr>
      <w:tblGrid>
        <w:gridCol w:w="3456"/>
        <w:gridCol w:w="3456"/>
        <w:gridCol w:w="3456"/>
      </w:tblGrid>
      <w:tr>
        <w:tc>
          <w:tcPr>
            <w:tcW w:type="dxa" w:w="3456"/>
            <w:shd w:fill="0B1F36"/>
          </w:tcPr>
          <w:p>
            <w:pPr>
              <w:jc w:val="right"/>
              <w:bidi w:val="1"/>
            </w:pPr>
            <w:r>
              <w:rPr>
                <w:b/>
                <w:color w:val="FFFFFF"/>
              </w:rPr>
              <w:t>צבע</w:t>
            </w:r>
          </w:p>
        </w:tc>
        <w:tc>
          <w:tcPr>
            <w:tcW w:type="dxa" w:w="3456"/>
            <w:shd w:fill="0B1F36"/>
          </w:tcPr>
          <w:p>
            <w:pPr>
              <w:jc w:val="right"/>
              <w:bidi w:val="1"/>
            </w:pPr>
            <w:r>
              <w:rPr>
                <w:b/>
                <w:color w:val="FFFFFF"/>
              </w:rPr>
              <w:t>HEX</w:t>
            </w:r>
          </w:p>
        </w:tc>
        <w:tc>
          <w:tcPr>
            <w:tcW w:type="dxa" w:w="3456"/>
            <w:shd w:fill="0B1F36"/>
          </w:tcPr>
          <w:p>
            <w:pPr>
              <w:jc w:val="right"/>
              <w:bidi w:val="1"/>
            </w:pPr>
            <w:r>
              <w:rPr>
                <w:b/>
                <w:color w:val="FFFFFF"/>
              </w:rPr>
              <w:t>תפקיד</w:t>
            </w:r>
          </w:p>
        </w:tc>
      </w:tr>
      <w:tr>
        <w:tc>
          <w:tcPr>
            <w:tcW w:type="dxa" w:w="3456"/>
            <w:shd w:fill="0B1F36"/>
            <w:vAlign w:val="center"/>
            <w:tcMar>
              <w:top w:w="100" w:type="dxa"/>
              <w:start w:w="120" w:type="dxa"/>
              <w:bottom w:w="100" w:type="dxa"/>
              <w:end w:w="120" w:type="dxa"/>
            </w:tcMar>
          </w:tcPr>
          <w:p>
            <w:pPr>
              <w:jc w:val="right"/>
              <w:bidi w:val="1"/>
            </w:pPr>
            <w:r>
              <w:rPr>
                <w:b/>
                <w:color w:val="FFFFFF"/>
              </w:rPr>
              <w:t>Primary Navy</w:t>
            </w:r>
          </w:p>
        </w:tc>
        <w:tc>
          <w:tcPr>
            <w:tcW w:type="dxa" w:w="3456"/>
            <w:vAlign w:val="center"/>
            <w:tcMar>
              <w:top w:w="100" w:type="dxa"/>
              <w:start w:w="120" w:type="dxa"/>
              <w:bottom w:w="100" w:type="dxa"/>
              <w:end w:w="120" w:type="dxa"/>
            </w:tcMar>
          </w:tcPr>
          <w:p>
            <w:pPr>
              <w:jc w:val="right"/>
              <w:bidi w:val="1"/>
            </w:pPr>
            <w:r>
              <w:t>#0B1F36</w:t>
            </w:r>
          </w:p>
        </w:tc>
        <w:tc>
          <w:tcPr>
            <w:tcW w:type="dxa" w:w="3456"/>
            <w:vAlign w:val="center"/>
            <w:tcMar>
              <w:top w:w="100" w:type="dxa"/>
              <w:start w:w="120" w:type="dxa"/>
              <w:bottom w:w="100" w:type="dxa"/>
              <w:end w:w="120" w:type="dxa"/>
            </w:tcMar>
          </w:tcPr>
          <w:p>
            <w:pPr>
              <w:jc w:val="right"/>
              <w:bidi w:val="1"/>
            </w:pPr>
            <w:r>
              <w:t>צבע המותג הכהה; עומק, מקצועיות וטכנולוגיה.</w:t>
            </w:r>
          </w:p>
        </w:tc>
      </w:tr>
      <w:tr>
        <w:tc>
          <w:tcPr>
            <w:tcW w:type="dxa" w:w="3456"/>
            <w:shd w:fill="168EF5"/>
            <w:vAlign w:val="center"/>
            <w:tcMar>
              <w:top w:w="100" w:type="dxa"/>
              <w:start w:w="120" w:type="dxa"/>
              <w:bottom w:w="100" w:type="dxa"/>
              <w:end w:w="120" w:type="dxa"/>
            </w:tcMar>
          </w:tcPr>
          <w:p>
            <w:pPr>
              <w:jc w:val="right"/>
              <w:bidi w:val="1"/>
            </w:pPr>
            <w:r>
              <w:rPr>
                <w:b/>
                <w:color w:val="FFFFFF"/>
              </w:rPr>
              <w:t>GLASIO Blue</w:t>
            </w:r>
          </w:p>
        </w:tc>
        <w:tc>
          <w:tcPr>
            <w:tcW w:type="dxa" w:w="3456"/>
            <w:vAlign w:val="center"/>
            <w:tcMar>
              <w:top w:w="100" w:type="dxa"/>
              <w:start w:w="120" w:type="dxa"/>
              <w:bottom w:w="100" w:type="dxa"/>
              <w:end w:w="120" w:type="dxa"/>
            </w:tcMar>
          </w:tcPr>
          <w:p>
            <w:pPr>
              <w:jc w:val="right"/>
              <w:bidi w:val="1"/>
            </w:pPr>
            <w:r>
              <w:t>#168EF5</w:t>
            </w:r>
          </w:p>
        </w:tc>
        <w:tc>
          <w:tcPr>
            <w:tcW w:type="dxa" w:w="3456"/>
            <w:vAlign w:val="center"/>
            <w:tcMar>
              <w:top w:w="100" w:type="dxa"/>
              <w:start w:w="120" w:type="dxa"/>
              <w:bottom w:w="100" w:type="dxa"/>
              <w:end w:w="120" w:type="dxa"/>
            </w:tcMar>
          </w:tcPr>
          <w:p>
            <w:pPr>
              <w:jc w:val="right"/>
              <w:bidi w:val="1"/>
            </w:pPr>
            <w:r>
              <w:t>הכחול הראשי והמזוהה עם המותג.</w:t>
            </w:r>
          </w:p>
        </w:tc>
      </w:tr>
      <w:tr>
        <w:tc>
          <w:tcPr>
            <w:tcW w:type="dxa" w:w="3456"/>
            <w:shd w:fill="42C7F5"/>
            <w:vAlign w:val="center"/>
            <w:tcMar>
              <w:top w:w="100" w:type="dxa"/>
              <w:start w:w="120" w:type="dxa"/>
              <w:bottom w:w="100" w:type="dxa"/>
              <w:end w:w="120" w:type="dxa"/>
            </w:tcMar>
          </w:tcPr>
          <w:p>
            <w:pPr>
              <w:jc w:val="right"/>
              <w:bidi w:val="1"/>
            </w:pPr>
            <w:r>
              <w:rPr>
                <w:b/>
                <w:color w:val="152536"/>
              </w:rPr>
              <w:t>Glass Blue</w:t>
            </w:r>
          </w:p>
        </w:tc>
        <w:tc>
          <w:tcPr>
            <w:tcW w:type="dxa" w:w="3456"/>
            <w:vAlign w:val="center"/>
            <w:tcMar>
              <w:top w:w="100" w:type="dxa"/>
              <w:start w:w="120" w:type="dxa"/>
              <w:bottom w:w="100" w:type="dxa"/>
              <w:end w:w="120" w:type="dxa"/>
            </w:tcMar>
          </w:tcPr>
          <w:p>
            <w:pPr>
              <w:jc w:val="right"/>
              <w:bidi w:val="1"/>
            </w:pPr>
            <w:r>
              <w:t>#42C7F5</w:t>
            </w:r>
          </w:p>
        </w:tc>
        <w:tc>
          <w:tcPr>
            <w:tcW w:type="dxa" w:w="3456"/>
            <w:vAlign w:val="center"/>
            <w:tcMar>
              <w:top w:w="100" w:type="dxa"/>
              <w:start w:w="120" w:type="dxa"/>
              <w:bottom w:w="100" w:type="dxa"/>
              <w:end w:w="120" w:type="dxa"/>
            </w:tcMar>
          </w:tcPr>
          <w:p>
            <w:pPr>
              <w:jc w:val="right"/>
              <w:bidi w:val="1"/>
            </w:pPr>
            <w:r>
              <w:t>כחול זכוכית בהיר להדגשות ותחושת שקיפות.</w:t>
            </w:r>
          </w:p>
        </w:tc>
      </w:tr>
      <w:tr>
        <w:tc>
          <w:tcPr>
            <w:tcW w:type="dxa" w:w="3456"/>
            <w:shd w:fill="F5F8FC"/>
            <w:vAlign w:val="center"/>
            <w:tcMar>
              <w:top w:w="100" w:type="dxa"/>
              <w:start w:w="120" w:type="dxa"/>
              <w:bottom w:w="100" w:type="dxa"/>
              <w:end w:w="120" w:type="dxa"/>
            </w:tcMar>
          </w:tcPr>
          <w:p>
            <w:pPr>
              <w:jc w:val="right"/>
              <w:bidi w:val="1"/>
            </w:pPr>
            <w:r>
              <w:rPr>
                <w:b/>
                <w:color w:val="152536"/>
              </w:rPr>
              <w:t>App Background</w:t>
            </w:r>
          </w:p>
        </w:tc>
        <w:tc>
          <w:tcPr>
            <w:tcW w:type="dxa" w:w="3456"/>
            <w:vAlign w:val="center"/>
            <w:tcMar>
              <w:top w:w="100" w:type="dxa"/>
              <w:start w:w="120" w:type="dxa"/>
              <w:bottom w:w="100" w:type="dxa"/>
              <w:end w:w="120" w:type="dxa"/>
            </w:tcMar>
          </w:tcPr>
          <w:p>
            <w:pPr>
              <w:jc w:val="right"/>
              <w:bidi w:val="1"/>
            </w:pPr>
            <w:r>
              <w:t>#F5F8FC</w:t>
            </w:r>
          </w:p>
        </w:tc>
        <w:tc>
          <w:tcPr>
            <w:tcW w:type="dxa" w:w="3456"/>
            <w:vAlign w:val="center"/>
            <w:tcMar>
              <w:top w:w="100" w:type="dxa"/>
              <w:start w:w="120" w:type="dxa"/>
              <w:bottom w:w="100" w:type="dxa"/>
              <w:end w:w="120" w:type="dxa"/>
            </w:tcMar>
          </w:tcPr>
          <w:p>
            <w:pPr>
              <w:jc w:val="right"/>
              <w:bidi w:val="1"/>
            </w:pPr>
            <w:r>
              <w:t>רקע בהיר ונקי.</w:t>
            </w:r>
          </w:p>
        </w:tc>
      </w:tr>
      <w:tr>
        <w:tc>
          <w:tcPr>
            <w:tcW w:type="dxa" w:w="3456"/>
            <w:shd w:fill="FFFFFF"/>
            <w:vAlign w:val="center"/>
            <w:tcMar>
              <w:top w:w="100" w:type="dxa"/>
              <w:start w:w="120" w:type="dxa"/>
              <w:bottom w:w="100" w:type="dxa"/>
              <w:end w:w="120" w:type="dxa"/>
            </w:tcMar>
          </w:tcPr>
          <w:p>
            <w:pPr>
              <w:jc w:val="right"/>
              <w:bidi w:val="1"/>
            </w:pPr>
            <w:r>
              <w:rPr>
                <w:b/>
                <w:color w:val="152536"/>
              </w:rPr>
              <w:t>Surface</w:t>
            </w:r>
          </w:p>
        </w:tc>
        <w:tc>
          <w:tcPr>
            <w:tcW w:type="dxa" w:w="3456"/>
            <w:vAlign w:val="center"/>
            <w:tcMar>
              <w:top w:w="100" w:type="dxa"/>
              <w:start w:w="120" w:type="dxa"/>
              <w:bottom w:w="100" w:type="dxa"/>
              <w:end w:w="120" w:type="dxa"/>
            </w:tcMar>
          </w:tcPr>
          <w:p>
            <w:pPr>
              <w:jc w:val="right"/>
              <w:bidi w:val="1"/>
            </w:pPr>
            <w:r>
              <w:t>#FFFFFF</w:t>
            </w:r>
          </w:p>
        </w:tc>
        <w:tc>
          <w:tcPr>
            <w:tcW w:type="dxa" w:w="3456"/>
            <w:vAlign w:val="center"/>
            <w:tcMar>
              <w:top w:w="100" w:type="dxa"/>
              <w:start w:w="120" w:type="dxa"/>
              <w:bottom w:w="100" w:type="dxa"/>
              <w:end w:w="120" w:type="dxa"/>
            </w:tcMar>
          </w:tcPr>
          <w:p>
            <w:pPr>
              <w:jc w:val="right"/>
              <w:bidi w:val="1"/>
            </w:pPr>
            <w:r>
              <w:t>משטחים וכרטיסים.</w:t>
            </w:r>
          </w:p>
        </w:tc>
      </w:tr>
      <w:tr>
        <w:tc>
          <w:tcPr>
            <w:tcW w:type="dxa" w:w="3456"/>
            <w:shd w:fill="152536"/>
            <w:vAlign w:val="center"/>
            <w:tcMar>
              <w:top w:w="100" w:type="dxa"/>
              <w:start w:w="120" w:type="dxa"/>
              <w:bottom w:w="100" w:type="dxa"/>
              <w:end w:w="120" w:type="dxa"/>
            </w:tcMar>
          </w:tcPr>
          <w:p>
            <w:pPr>
              <w:jc w:val="right"/>
              <w:bidi w:val="1"/>
            </w:pPr>
            <w:r>
              <w:rPr>
                <w:b/>
                <w:color w:val="FFFFFF"/>
              </w:rPr>
              <w:t>Primary Text</w:t>
            </w:r>
          </w:p>
        </w:tc>
        <w:tc>
          <w:tcPr>
            <w:tcW w:type="dxa" w:w="3456"/>
            <w:vAlign w:val="center"/>
            <w:tcMar>
              <w:top w:w="100" w:type="dxa"/>
              <w:start w:w="120" w:type="dxa"/>
              <w:bottom w:w="100" w:type="dxa"/>
              <w:end w:w="120" w:type="dxa"/>
            </w:tcMar>
          </w:tcPr>
          <w:p>
            <w:pPr>
              <w:jc w:val="right"/>
              <w:bidi w:val="1"/>
            </w:pPr>
            <w:r>
              <w:t>#152536</w:t>
            </w:r>
          </w:p>
        </w:tc>
        <w:tc>
          <w:tcPr>
            <w:tcW w:type="dxa" w:w="3456"/>
            <w:vAlign w:val="center"/>
            <w:tcMar>
              <w:top w:w="100" w:type="dxa"/>
              <w:start w:w="120" w:type="dxa"/>
              <w:bottom w:w="100" w:type="dxa"/>
              <w:end w:w="120" w:type="dxa"/>
            </w:tcMar>
          </w:tcPr>
          <w:p>
            <w:pPr>
              <w:jc w:val="right"/>
              <w:bidi w:val="1"/>
            </w:pPr>
            <w:r>
              <w:t>טקסט ראשי כהה.</w:t>
            </w:r>
          </w:p>
        </w:tc>
      </w:tr>
      <w:tr>
        <w:tc>
          <w:tcPr>
            <w:tcW w:type="dxa" w:w="3456"/>
            <w:shd w:fill="66788A"/>
            <w:vAlign w:val="center"/>
            <w:tcMar>
              <w:top w:w="100" w:type="dxa"/>
              <w:start w:w="120" w:type="dxa"/>
              <w:bottom w:w="100" w:type="dxa"/>
              <w:end w:w="120" w:type="dxa"/>
            </w:tcMar>
          </w:tcPr>
          <w:p>
            <w:pPr>
              <w:jc w:val="right"/>
              <w:bidi w:val="1"/>
            </w:pPr>
            <w:r>
              <w:rPr>
                <w:b/>
                <w:color w:val="FFFFFF"/>
              </w:rPr>
              <w:t>Secondary Text</w:t>
            </w:r>
          </w:p>
        </w:tc>
        <w:tc>
          <w:tcPr>
            <w:tcW w:type="dxa" w:w="3456"/>
            <w:vAlign w:val="center"/>
            <w:tcMar>
              <w:top w:w="100" w:type="dxa"/>
              <w:start w:w="120" w:type="dxa"/>
              <w:bottom w:w="100" w:type="dxa"/>
              <w:end w:w="120" w:type="dxa"/>
            </w:tcMar>
          </w:tcPr>
          <w:p>
            <w:pPr>
              <w:jc w:val="right"/>
              <w:bidi w:val="1"/>
            </w:pPr>
            <w:r>
              <w:t>#66788A</w:t>
            </w:r>
          </w:p>
        </w:tc>
        <w:tc>
          <w:tcPr>
            <w:tcW w:type="dxa" w:w="3456"/>
            <w:vAlign w:val="center"/>
            <w:tcMar>
              <w:top w:w="100" w:type="dxa"/>
              <w:start w:w="120" w:type="dxa"/>
              <w:bottom w:w="100" w:type="dxa"/>
              <w:end w:w="120" w:type="dxa"/>
            </w:tcMar>
          </w:tcPr>
          <w:p>
            <w:pPr>
              <w:jc w:val="right"/>
              <w:bidi w:val="1"/>
            </w:pPr>
            <w:r>
              <w:t>טקסט משני.</w:t>
            </w:r>
          </w:p>
        </w:tc>
      </w:tr>
    </w:tbl>
    <w:p>
      <w:pPr>
        <w:jc w:val="right"/>
        <w:bidi w:val="1"/>
      </w:pPr>
      <w:r>
        <w:rPr>
          <w:b/>
          <w:color w:val="0B1F36"/>
          <w:sz w:val="28"/>
        </w:rPr>
        <w:t>צבעי סטטוס משלימים</w:t>
      </w:r>
    </w:p>
    <w:tbl>
      <w:tblPr>
        <w:tblW w:type="auto" w:w="0"/>
        <w:tblLook w:firstColumn="1" w:firstRow="1" w:lastColumn="0" w:lastRow="0" w:noHBand="0" w:noVBand="1" w:val="04A0"/>
      </w:tblPr>
      <w:tblGrid>
        <w:gridCol w:w="5184"/>
        <w:gridCol w:w="5184"/>
      </w:tblGrid>
      <w:tr>
        <w:tc>
          <w:tcPr>
            <w:tcW w:type="dxa" w:w="5184"/>
            <w:shd w:fill="EAF1F7"/>
          </w:tcPr>
          <w:p>
            <w:pPr>
              <w:jc w:val="right"/>
              <w:bidi w:val="1"/>
            </w:pPr>
            <w:r>
              <w:t>שימוש</w:t>
            </w:r>
          </w:p>
        </w:tc>
        <w:tc>
          <w:tcPr>
            <w:tcW w:type="dxa" w:w="5184"/>
            <w:shd w:fill="EAF1F7"/>
          </w:tcPr>
          <w:p>
            <w:pPr>
              <w:jc w:val="right"/>
              <w:bidi w:val="1"/>
            </w:pPr>
            <w:r>
              <w:t>HEX</w:t>
            </w:r>
          </w:p>
        </w:tc>
      </w:tr>
      <w:tr>
        <w:tc>
          <w:tcPr>
            <w:tcW w:type="dxa" w:w="5184"/>
          </w:tcPr>
          <w:p>
            <w:pPr>
              <w:jc w:val="right"/>
              <w:bidi w:val="1"/>
            </w:pPr>
            <w:r>
              <w:t>הושלם / הצלחה</w:t>
            </w:r>
          </w:p>
        </w:tc>
        <w:tc>
          <w:tcPr>
            <w:tcW w:type="dxa" w:w="5184"/>
            <w:shd w:fill="16A36A"/>
          </w:tcPr>
          <w:p>
            <w:pPr>
              <w:jc w:val="right"/>
              <w:bidi w:val="1"/>
            </w:pPr>
            <w:r>
              <w:rPr>
                <w:b/>
                <w:color w:val="FFFFFF"/>
              </w:rPr>
              <w:t>#16A36A</w:t>
            </w:r>
          </w:p>
        </w:tc>
      </w:tr>
      <w:tr>
        <w:tc>
          <w:tcPr>
            <w:tcW w:type="dxa" w:w="5184"/>
          </w:tcPr>
          <w:p>
            <w:pPr>
              <w:jc w:val="right"/>
              <w:bidi w:val="1"/>
            </w:pPr>
            <w:r>
              <w:t>ממתין / דורש תשומת לב</w:t>
            </w:r>
          </w:p>
        </w:tc>
        <w:tc>
          <w:tcPr>
            <w:tcW w:type="dxa" w:w="5184"/>
            <w:shd w:fill="F59E0B"/>
          </w:tcPr>
          <w:p>
            <w:pPr>
              <w:jc w:val="right"/>
              <w:bidi w:val="1"/>
            </w:pPr>
            <w:r>
              <w:rPr>
                <w:b/>
                <w:color w:val="FFFFFF"/>
              </w:rPr>
              <w:t>#F59E0B</w:t>
            </w:r>
          </w:p>
        </w:tc>
      </w:tr>
      <w:tr>
        <w:tc>
          <w:tcPr>
            <w:tcW w:type="dxa" w:w="5184"/>
          </w:tcPr>
          <w:p>
            <w:pPr>
              <w:jc w:val="right"/>
              <w:bidi w:val="1"/>
            </w:pPr>
            <w:r>
              <w:t>בעיה / פעולה חריגה</w:t>
            </w:r>
          </w:p>
        </w:tc>
        <w:tc>
          <w:tcPr>
            <w:tcW w:type="dxa" w:w="5184"/>
            <w:shd w:fill="E5484D"/>
          </w:tcPr>
          <w:p>
            <w:pPr>
              <w:jc w:val="right"/>
              <w:bidi w:val="1"/>
            </w:pPr>
            <w:r>
              <w:rPr>
                <w:b/>
                <w:color w:val="FFFFFF"/>
              </w:rPr>
              <w:t>#E5484D</w:t>
            </w:r>
          </w:p>
        </w:tc>
      </w:tr>
      <w:tr>
        <w:tc>
          <w:tcPr>
            <w:tcW w:type="dxa" w:w="5184"/>
          </w:tcPr>
          <w:p>
            <w:pPr>
              <w:jc w:val="right"/>
              <w:bidi w:val="1"/>
            </w:pPr>
            <w:r>
              <w:t>מידע / בתהליך</w:t>
            </w:r>
          </w:p>
        </w:tc>
        <w:tc>
          <w:tcPr>
            <w:tcW w:type="dxa" w:w="5184"/>
            <w:shd w:fill="168EF5"/>
          </w:tcPr>
          <w:p>
            <w:pPr>
              <w:jc w:val="right"/>
              <w:bidi w:val="1"/>
            </w:pPr>
            <w:r>
              <w:rPr>
                <w:b/>
                <w:color w:val="FFFFFF"/>
              </w:rPr>
              <w:t>#168EF5</w:t>
            </w:r>
          </w:p>
        </w:tc>
      </w:tr>
      <w:tr>
        <w:tc>
          <w:tcPr>
            <w:tcW w:type="dxa" w:w="5184"/>
          </w:tcPr>
          <w:p>
            <w:pPr>
              <w:jc w:val="right"/>
              <w:bidi w:val="1"/>
            </w:pPr>
            <w:r>
              <w:t>טיוטה / ניטרלי</w:t>
            </w:r>
          </w:p>
        </w:tc>
        <w:tc>
          <w:tcPr>
            <w:tcW w:type="dxa" w:w="5184"/>
            <w:shd w:fill="7C8B9A"/>
          </w:tcPr>
          <w:p>
            <w:pPr>
              <w:jc w:val="right"/>
              <w:bidi w:val="1"/>
            </w:pPr>
            <w:r>
              <w:rPr>
                <w:b/>
                <w:color w:val="FFFFFF"/>
              </w:rPr>
              <w:t>#7C8B9A</w:t>
            </w:r>
          </w:p>
        </w:tc>
      </w:tr>
    </w:tbl>
    <w:p>
      <w:pPr>
        <w:jc w:val="right"/>
        <w:bidi w:val="1"/>
      </w:pPr>
      <w:r>
        <w:rPr>
          <w:b/>
          <w:color w:val="0B1F36"/>
          <w:sz w:val="32"/>
        </w:rPr>
        <w:t>הכיוון הוויזואלי</w:t>
      </w:r>
    </w:p>
    <w:p>
      <w:pPr>
        <w:jc w:val="right"/>
        <w:bidi w:val="1"/>
      </w:pPr>
      <w:r>
        <w:rPr>
          <w:sz w:val="21"/>
        </w:rPr>
        <w:t>• מודרני, מקצועי וטכנולוגי — אבל לא קר או גנרי.</w:t>
      </w:r>
    </w:p>
    <w:p>
      <w:pPr>
        <w:jc w:val="right"/>
        <w:bidi w:val="1"/>
      </w:pPr>
      <w:r>
        <w:rPr>
          <w:sz w:val="21"/>
        </w:rPr>
        <w:t>• השראה מעולם הזכוכית: שקיפות, אור, שכבות, קצוות מדויקים וגווני כחול.</w:t>
      </w:r>
    </w:p>
    <w:p>
      <w:pPr>
        <w:jc w:val="right"/>
        <w:bidi w:val="1"/>
      </w:pPr>
      <w:r>
        <w:rPr>
          <w:sz w:val="21"/>
        </w:rPr>
        <w:t>• ממשק נקי ובהיר עם נוכחות של Navy וכחול GLASIO.</w:t>
      </w:r>
    </w:p>
    <w:p>
      <w:pPr>
        <w:jc w:val="right"/>
        <w:bidi w:val="1"/>
      </w:pPr>
      <w:r>
        <w:rPr>
          <w:sz w:val="21"/>
        </w:rPr>
        <w:t>• תחושה של מוצר SaaS איכותי שנבנה במיוחד לאנשי זכוכית.</w:t>
      </w:r>
    </w:p>
    <w:p>
      <w:pPr>
        <w:jc w:val="right"/>
        <w:bidi w:val="1"/>
      </w:pPr>
      <w:r>
        <w:rPr>
          <w:sz w:val="21"/>
        </w:rPr>
        <w:t>• פחות עומס ויזואלי; יותר סדר, בהירות ודיוק.</w:t>
      </w:r>
    </w:p>
    <w:p>
      <w:pPr>
        <w:jc w:val="right"/>
        <w:bidi w:val="1"/>
      </w:pPr>
      <w:r>
        <w:rPr>
          <w:sz w:val="21"/>
        </w:rPr>
        <w:t>• המותג צריך לעבוד היטב בעברית וב‑RTL, ובמקביל להרגיש ברמה בינלאומית.</w:t>
      </w:r>
    </w:p>
    <w:p>
      <w:pPr>
        <w:jc w:val="right"/>
        <w:bidi w:val="1"/>
      </w:pPr>
      <w:r>
        <w:rPr>
          <w:sz w:val="21"/>
        </w:rPr>
        <w:t>• יש לשמור על עקביות בין Mobile, iPad ו‑Desktop בלי להכתיב כאן את מבנה ה‑UX.</w:t>
      </w:r>
    </w:p>
    <w:p>
      <w:pPr>
        <w:jc w:val="right"/>
        <w:bidi w:val="1"/>
      </w:pPr>
      <w:r>
        <w:rPr>
          <w:b/>
          <w:color w:val="0B1F36"/>
          <w:sz w:val="32"/>
        </w:rPr>
        <w:t>לוגו</w:t>
      </w:r>
    </w:p>
    <w:p>
      <w:pPr>
        <w:jc w:val="right"/>
        <w:bidi w:val="1"/>
      </w:pPr>
      <w:r>
        <w:t>הלוגו המצורף הוא מקור הכיוון למותג: סמל זכוכית כחול/שקוף, GLASIO בלבן/כהה בהתאם לרקע, וה‑A הכחולה כאלמנט מזוהה. הכיתוב המשני: GLASS WORK PLATFORM. הסלוגן בעברית: ״כל העבודה. מהסקיצה ועד ההרכבה.״</w:t>
      </w:r>
    </w:p>
    <w:p>
      <w:r>
        <w:br w:type="page"/>
      </w:r>
    </w:p>
    <w:p>
      <w:pPr>
        <w:jc w:val="right"/>
        <w:bidi w:val="1"/>
      </w:pPr>
      <w:r>
        <w:rPr>
          <w:b/>
          <w:color w:val="0B1F36"/>
          <w:sz w:val="36"/>
        </w:rPr>
        <w:t>רפרנס ויזואלי לממשק</w:t>
      </w:r>
    </w:p>
    <w:p>
      <w:pPr>
        <w:jc w:val="right"/>
        <w:bidi w:val="1"/>
      </w:pPr>
      <w:r>
        <w:t>התמונה הבאה נועדה להעביר את הצבעוניות, האווירה, רמת הניקיון והקשר בין Navy, כחול, לבן וגווני זכוכית. היא אינה מפרט לביצוע ואינה מחייבת את מבנה המסכים.</w:t>
      </w:r>
    </w:p>
    <w:p>
      <w:pPr>
        <w:jc w:val="center"/>
      </w:pPr>
      <w:r>
        <w:drawing>
          <wp:inline xmlns:a="http://schemas.openxmlformats.org/drawingml/2006/main" xmlns:pic="http://schemas.openxmlformats.org/drawingml/2006/picture">
            <wp:extent cx="6400800" cy="4267200"/>
            <wp:docPr id="2" name="Picture 2"/>
            <wp:cNvGraphicFramePr>
              <a:graphicFrameLocks noChangeAspect="1"/>
            </wp:cNvGraphicFramePr>
            <a:graphic>
              <a:graphicData uri="http://schemas.openxmlformats.org/drawingml/2006/picture">
                <pic:pic>
                  <pic:nvPicPr>
                    <pic:cNvPr id="0" name="a_clean_professional_ui_ux_mockup_collage_on_a_li.png"/>
                    <pic:cNvPicPr/>
                  </pic:nvPicPr>
                  <pic:blipFill>
                    <a:blip r:embed="rId10"/>
                    <a:stretch>
                      <a:fillRect/>
                    </a:stretch>
                  </pic:blipFill>
                  <pic:spPr>
                    <a:xfrm>
                      <a:off x="0" y="0"/>
                      <a:ext cx="6400800" cy="4267200"/>
                    </a:xfrm>
                    <a:prstGeom prst="rect"/>
                  </pic:spPr>
                </pic:pic>
              </a:graphicData>
            </a:graphic>
          </wp:inline>
        </w:drawing>
      </w:r>
    </w:p>
    <w:p>
      <w:pPr>
        <w:jc w:val="right"/>
        <w:bidi w:val="1"/>
      </w:pPr>
      <w:r>
        <w:rPr>
          <w:b/>
          <w:color w:val="168EF5"/>
          <w:sz w:val="28"/>
        </w:rPr>
        <w:t>הערה ל‑Claude</w:t>
      </w:r>
    </w:p>
    <w:p>
      <w:pPr>
        <w:jc w:val="right"/>
        <w:bidi w:val="1"/>
      </w:pPr>
      <w:r>
        <w:t>קח מהמסמך את השפה, הצבעים, הלוגו והתחושה הכללית בלבד. את ההחלטות לגבי היררכיה, רכיבים, spacing, navigation, responsive behavior ושאר חוקי ה‑UI/UX — בצע לפי ה‑design skill והחוקים המקצועיים שלך.</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