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settings.xml" ContentType="application/vnd.openxmlformats-officedocument.wordprocessingml.settings+xml"/>
  <Override PartName="/word/header3.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80"/>
        <w:jc w:val="center"/>
        <w:rPr>
          <w:lang w:val="fr-FR"/>
        </w:rPr>
      </w:pPr>
      <w:r>
        <w:rPr>
          <w:b/>
          <w:color w:val="1F4D78"/>
          <w:sz w:val="48"/>
          <w:lang w:val="fr-FR"/>
        </w:rPr>
        <w:t>PROFORMA COMMERCIAL</w:t>
      </w:r>
    </w:p>
    <w:p>
      <w:pPr>
        <w:pStyle w:val="Normal"/>
        <w:spacing w:before="0" w:after="360"/>
        <w:jc w:val="center"/>
        <w:rPr>
          <w:lang w:val="fr-FR"/>
        </w:rPr>
      </w:pPr>
      <w:r>
        <w:rPr>
          <w:color w:val="666666"/>
          <w:sz w:val="26"/>
          <w:lang w:val="fr-FR"/>
        </w:rPr>
        <w:t>Système de caisse et de gestion pour Restaurant Kitchen Plus</w:t>
      </w:r>
    </w:p>
    <w:tbl>
      <w:tblPr>
        <w:tblW w:w="9792" w:type="dxa"/>
        <w:jc w:val="center"/>
        <w:tblInd w:w="0" w:type="dxa"/>
        <w:tblLayout w:type="fixed"/>
        <w:tblCellMar>
          <w:top w:w="100" w:type="dxa"/>
          <w:left w:w="140" w:type="dxa"/>
          <w:bottom w:w="100" w:type="dxa"/>
          <w:right w:w="140" w:type="dxa"/>
        </w:tblCellMar>
        <w:tblLook w:val="04a0" w:noHBand="0" w:noVBand="1" w:firstColumn="1" w:lastRow="0" w:lastColumn="0" w:firstRow="1"/>
      </w:tblPr>
      <w:tblGrid>
        <w:gridCol w:w="4896"/>
        <w:gridCol w:w="4895"/>
      </w:tblGrid>
      <w:tr>
        <w:trPr/>
        <w:tc>
          <w:tcPr>
            <w:tcW w:w="4896" w:type="dxa"/>
            <w:tcBorders>
              <w:top w:val="single" w:sz="6" w:space="0" w:color="D9E2EC"/>
              <w:left w:val="single" w:sz="6" w:space="0" w:color="D9E2EC"/>
              <w:bottom w:val="single" w:sz="6" w:space="0" w:color="D9E2EC"/>
              <w:right w:val="single" w:sz="6" w:space="0" w:color="D9E2EC"/>
            </w:tcBorders>
            <w:shd w:fill="E8EEF5"/>
            <w:vAlign w:val="center"/>
          </w:tcPr>
          <w:p>
            <w:pPr>
              <w:pStyle w:val="Normal"/>
              <w:spacing w:lineRule="auto" w:line="276" w:before="0" w:after="0"/>
              <w:rPr>
                <w:lang w:val="fr-FR"/>
              </w:rPr>
            </w:pPr>
            <w:r>
              <w:rPr>
                <w:b/>
                <w:color w:val="1F4D78"/>
                <w:sz w:val="21"/>
                <w:lang w:val="fr-FR"/>
              </w:rPr>
              <w:t>Client</w:t>
            </w:r>
          </w:p>
        </w:tc>
        <w:tc>
          <w:tcPr>
            <w:tcW w:w="4895" w:type="dxa"/>
            <w:tcBorders>
              <w:top w:val="single" w:sz="6" w:space="0" w:color="D9E2EC"/>
              <w:left w:val="single" w:sz="6" w:space="0" w:color="D9E2EC"/>
              <w:bottom w:val="single" w:sz="6" w:space="0" w:color="D9E2EC"/>
              <w:right w:val="single" w:sz="6" w:space="0" w:color="D9E2EC"/>
            </w:tcBorders>
            <w:vAlign w:val="center"/>
          </w:tcPr>
          <w:p>
            <w:pPr>
              <w:pStyle w:val="Normal"/>
              <w:spacing w:lineRule="auto" w:line="276" w:before="0" w:after="0"/>
              <w:rPr>
                <w:lang w:val="fr-FR"/>
              </w:rPr>
            </w:pPr>
            <w:r>
              <w:rPr>
                <w:b w:val="false"/>
                <w:color w:val="111111"/>
                <w:sz w:val="21"/>
                <w:lang w:val="fr-FR"/>
              </w:rPr>
              <w:t>Restaurant Kitchen Plus</w:t>
            </w:r>
          </w:p>
        </w:tc>
      </w:tr>
      <w:tr>
        <w:trPr/>
        <w:tc>
          <w:tcPr>
            <w:tcW w:w="4896" w:type="dxa"/>
            <w:tcBorders>
              <w:top w:val="single" w:sz="6" w:space="0" w:color="D9E2EC"/>
              <w:left w:val="single" w:sz="6" w:space="0" w:color="D9E2EC"/>
              <w:bottom w:val="single" w:sz="6" w:space="0" w:color="D9E2EC"/>
              <w:right w:val="single" w:sz="6" w:space="0" w:color="D9E2EC"/>
            </w:tcBorders>
            <w:shd w:fill="E8EEF5"/>
            <w:vAlign w:val="center"/>
          </w:tcPr>
          <w:p>
            <w:pPr>
              <w:pStyle w:val="Normal"/>
              <w:spacing w:lineRule="auto" w:line="276" w:before="0" w:after="0"/>
              <w:rPr>
                <w:lang w:val="fr-FR"/>
              </w:rPr>
            </w:pPr>
            <w:r>
              <w:rPr>
                <w:b/>
                <w:color w:val="1F4D78"/>
                <w:sz w:val="21"/>
                <w:lang w:val="fr-FR"/>
              </w:rPr>
              <w:t>Fournisseur</w:t>
            </w:r>
          </w:p>
        </w:tc>
        <w:tc>
          <w:tcPr>
            <w:tcW w:w="4895" w:type="dxa"/>
            <w:tcBorders>
              <w:top w:val="single" w:sz="6" w:space="0" w:color="D9E2EC"/>
              <w:left w:val="single" w:sz="6" w:space="0" w:color="D9E2EC"/>
              <w:bottom w:val="single" w:sz="6" w:space="0" w:color="D9E2EC"/>
              <w:right w:val="single" w:sz="6" w:space="0" w:color="D9E2EC"/>
            </w:tcBorders>
            <w:vAlign w:val="center"/>
          </w:tcPr>
          <w:p>
            <w:pPr>
              <w:pStyle w:val="Normal"/>
              <w:spacing w:lineRule="auto" w:line="276" w:before="0" w:after="0"/>
              <w:rPr>
                <w:lang w:val="fr-FR"/>
              </w:rPr>
            </w:pPr>
            <w:r>
              <w:rPr>
                <w:b w:val="false"/>
                <w:color w:val="111111"/>
                <w:sz w:val="21"/>
                <w:lang w:val="fr-FR"/>
              </w:rPr>
              <w:t>BenoitHarck</w:t>
            </w:r>
          </w:p>
        </w:tc>
      </w:tr>
      <w:tr>
        <w:trPr/>
        <w:tc>
          <w:tcPr>
            <w:tcW w:w="4896" w:type="dxa"/>
            <w:tcBorders>
              <w:top w:val="single" w:sz="6" w:space="0" w:color="D9E2EC"/>
              <w:left w:val="single" w:sz="6" w:space="0" w:color="D9E2EC"/>
              <w:bottom w:val="single" w:sz="6" w:space="0" w:color="D9E2EC"/>
              <w:right w:val="single" w:sz="6" w:space="0" w:color="D9E2EC"/>
            </w:tcBorders>
            <w:shd w:fill="E8EEF5"/>
            <w:vAlign w:val="center"/>
          </w:tcPr>
          <w:p>
            <w:pPr>
              <w:pStyle w:val="Normal"/>
              <w:spacing w:lineRule="auto" w:line="276" w:before="0" w:after="0"/>
              <w:rPr>
                <w:lang w:val="fr-FR"/>
              </w:rPr>
            </w:pPr>
            <w:r>
              <w:rPr>
                <w:b/>
                <w:color w:val="1F4D78"/>
                <w:sz w:val="21"/>
                <w:lang w:val="fr-FR"/>
              </w:rPr>
              <w:t>Contact</w:t>
            </w:r>
          </w:p>
        </w:tc>
        <w:tc>
          <w:tcPr>
            <w:tcW w:w="4895" w:type="dxa"/>
            <w:tcBorders>
              <w:top w:val="single" w:sz="6" w:space="0" w:color="D9E2EC"/>
              <w:left w:val="single" w:sz="6" w:space="0" w:color="D9E2EC"/>
              <w:bottom w:val="single" w:sz="6" w:space="0" w:color="D9E2EC"/>
              <w:right w:val="single" w:sz="6" w:space="0" w:color="D9E2EC"/>
            </w:tcBorders>
            <w:vAlign w:val="center"/>
          </w:tcPr>
          <w:p>
            <w:pPr>
              <w:pStyle w:val="Normal"/>
              <w:spacing w:lineRule="auto" w:line="276" w:before="0" w:after="0"/>
              <w:rPr>
                <w:lang w:val="fr-FR"/>
              </w:rPr>
            </w:pPr>
            <w:r>
              <w:rPr>
                <w:b w:val="false"/>
                <w:color w:val="111111"/>
                <w:sz w:val="21"/>
                <w:lang w:val="fr-FR"/>
              </w:rPr>
              <w:t>benoit610abah@gmail.com</w:t>
            </w:r>
          </w:p>
        </w:tc>
      </w:tr>
      <w:tr>
        <w:trPr/>
        <w:tc>
          <w:tcPr>
            <w:tcW w:w="4896" w:type="dxa"/>
            <w:tcBorders>
              <w:top w:val="single" w:sz="6" w:space="0" w:color="D9E2EC"/>
              <w:left w:val="single" w:sz="6" w:space="0" w:color="D9E2EC"/>
              <w:bottom w:val="single" w:sz="6" w:space="0" w:color="D9E2EC"/>
              <w:right w:val="single" w:sz="6" w:space="0" w:color="D9E2EC"/>
            </w:tcBorders>
            <w:shd w:fill="E8EEF5"/>
            <w:vAlign w:val="center"/>
          </w:tcPr>
          <w:p>
            <w:pPr>
              <w:pStyle w:val="Normal"/>
              <w:spacing w:lineRule="auto" w:line="276" w:before="0" w:after="0"/>
              <w:rPr>
                <w:lang w:val="fr-FR"/>
              </w:rPr>
            </w:pPr>
            <w:r>
              <w:rPr>
                <w:b/>
                <w:color w:val="1F4D78"/>
                <w:sz w:val="21"/>
                <w:lang w:val="fr-FR"/>
              </w:rPr>
              <w:t>Date</w:t>
            </w:r>
          </w:p>
        </w:tc>
        <w:tc>
          <w:tcPr>
            <w:tcW w:w="4895" w:type="dxa"/>
            <w:tcBorders>
              <w:top w:val="single" w:sz="6" w:space="0" w:color="D9E2EC"/>
              <w:left w:val="single" w:sz="6" w:space="0" w:color="D9E2EC"/>
              <w:bottom w:val="single" w:sz="6" w:space="0" w:color="D9E2EC"/>
              <w:right w:val="single" w:sz="6" w:space="0" w:color="D9E2EC"/>
            </w:tcBorders>
            <w:vAlign w:val="center"/>
          </w:tcPr>
          <w:p>
            <w:pPr>
              <w:pStyle w:val="Normal"/>
              <w:spacing w:lineRule="auto" w:line="276" w:before="0" w:after="0"/>
              <w:rPr>
                <w:lang w:val="fr-FR"/>
              </w:rPr>
            </w:pPr>
            <w:r>
              <w:rPr>
                <w:b w:val="false"/>
                <w:color w:val="111111"/>
                <w:sz w:val="21"/>
                <w:lang w:val="fr-FR"/>
              </w:rPr>
              <w:t>1er septembre 2026</w:t>
            </w:r>
          </w:p>
        </w:tc>
      </w:tr>
    </w:tbl>
    <w:p>
      <w:pPr>
        <w:pStyle w:val="Normal"/>
        <w:rPr>
          <w:lang w:val="fr-FR"/>
        </w:rPr>
      </w:pPr>
      <w:r>
        <w:rPr>
          <w:lang w:val="fr-FR"/>
        </w:rPr>
      </w:r>
    </w:p>
    <w:tbl>
      <w:tblPr>
        <w:tblW w:w="9792" w:type="dxa"/>
        <w:jc w:val="center"/>
        <w:tblInd w:w="0" w:type="dxa"/>
        <w:tblLayout w:type="fixed"/>
        <w:tblCellMar>
          <w:top w:w="160" w:type="dxa"/>
          <w:left w:w="180" w:type="dxa"/>
          <w:bottom w:w="160" w:type="dxa"/>
          <w:right w:w="180" w:type="dxa"/>
        </w:tblCellMar>
        <w:tblLook w:val="04a0" w:noHBand="0" w:noVBand="1" w:firstColumn="1" w:lastRow="0" w:lastColumn="0" w:firstRow="1"/>
      </w:tblPr>
      <w:tblGrid>
        <w:gridCol w:w="9792"/>
      </w:tblGrid>
      <w:tr>
        <w:trPr/>
        <w:tc>
          <w:tcPr>
            <w:tcW w:w="9792" w:type="dxa"/>
            <w:tcBorders>
              <w:top w:val="single" w:sz="6" w:space="0" w:color="CAD6E2"/>
              <w:left w:val="single" w:sz="6" w:space="0" w:color="CAD6E2"/>
              <w:bottom w:val="single" w:sz="6" w:space="0" w:color="CAD6E2"/>
              <w:right w:val="single" w:sz="6" w:space="0" w:color="CAD6E2"/>
            </w:tcBorders>
            <w:shd w:fill="F4F6F9"/>
          </w:tcPr>
          <w:p>
            <w:pPr>
              <w:pStyle w:val="Normal"/>
              <w:spacing w:before="0" w:after="80"/>
              <w:rPr>
                <w:lang w:val="fr-FR"/>
              </w:rPr>
            </w:pPr>
            <w:r>
              <w:rPr>
                <w:b/>
                <w:color w:val="1F4D78"/>
                <w:sz w:val="23"/>
                <w:lang w:val="fr-FR"/>
              </w:rPr>
              <w:t>Proposition recommandée</w:t>
            </w:r>
          </w:p>
          <w:p>
            <w:pPr>
              <w:pStyle w:val="Normal"/>
              <w:spacing w:lineRule="auto" w:line="288" w:before="0" w:after="0"/>
              <w:rPr>
                <w:lang w:val="fr-FR"/>
              </w:rPr>
            </w:pPr>
            <w:r>
              <w:rPr>
                <w:color w:val="111111"/>
                <w:sz w:val="21"/>
                <w:lang w:val="fr-FR"/>
              </w:rPr>
              <w:t>Pour Restaurant Kitchen Plus, l'offre la plus accessible est le Forfait A : 250 000 FCFA au démarrage, puis 60 000 FCFA par mois seulement à partir du 4e mois. Les 3 premiers mois après installation sont gratuits pour permettre au restaurant de tester, stabiliser et adopter le système.</w:t>
            </w:r>
          </w:p>
        </w:tc>
      </w:tr>
    </w:tbl>
    <w:p>
      <w:pPr>
        <w:pStyle w:val="Normal"/>
        <w:rPr>
          <w:lang w:val="fr-FR"/>
        </w:rPr>
      </w:pPr>
      <w:r>
        <w:rPr>
          <w:lang w:val="fr-FR"/>
        </w:rPr>
      </w:r>
    </w:p>
    <w:p>
      <w:pPr>
        <w:pStyle w:val="Heading1"/>
        <w:rPr>
          <w:lang w:val="fr-FR"/>
        </w:rPr>
      </w:pPr>
      <w:r>
        <w:rPr>
          <w:lang w:val="fr-FR"/>
        </w:rPr>
        <w:t>1. Objet de la proposition</w:t>
      </w:r>
    </w:p>
    <w:p>
      <w:pPr>
        <w:pStyle w:val="Normal"/>
        <w:jc w:val="both"/>
        <w:rPr>
          <w:lang w:val="fr-FR"/>
        </w:rPr>
      </w:pPr>
      <w:r>
        <w:rPr>
          <w:lang w:val="fr-FR"/>
        </w:rPr>
        <w:t>Le présent proforma porte sur la fourniture, l'installation et la personnalisation d'un système de caisse et de gestion dédié aux restaurants. La solution est conçue pour aider Restaurant Kitchen Plus à mieux suivre ses ventes, contrôler sa caisse, piloter son stock, suivre ses dépenses et disposer de rapports clairs pour la prise de décision.</w:t>
      </w:r>
    </w:p>
    <w:p>
      <w:pPr>
        <w:pStyle w:val="Heading2"/>
        <w:rPr>
          <w:lang w:val="fr-FR"/>
        </w:rPr>
      </w:pPr>
      <w:r>
        <w:rPr>
          <w:lang w:val="fr-FR"/>
        </w:rPr>
        <w:t>Fonctionnalités incluses</w:t>
      </w:r>
    </w:p>
    <w:p>
      <w:pPr>
        <w:pStyle w:val="ListBullet"/>
        <w:numPr>
          <w:ilvl w:val="0"/>
          <w:numId w:val="1"/>
        </w:numPr>
        <w:spacing w:before="0" w:after="80"/>
        <w:ind w:hanging="216" w:left="504"/>
        <w:contextualSpacing/>
        <w:rPr>
          <w:lang w:val="fr-FR"/>
        </w:rPr>
      </w:pPr>
      <w:r>
        <w:rPr>
          <w:sz w:val="21"/>
          <w:lang w:val="fr-FR"/>
        </w:rPr>
        <w:t>Caisse de vente rapide avec panier, reçu et historique des ventes.</w:t>
      </w:r>
    </w:p>
    <w:p>
      <w:pPr>
        <w:pStyle w:val="ListBullet"/>
        <w:numPr>
          <w:ilvl w:val="0"/>
          <w:numId w:val="1"/>
        </w:numPr>
        <w:spacing w:before="0" w:after="80"/>
        <w:ind w:hanging="216" w:left="504"/>
        <w:contextualSpacing/>
        <w:rPr>
          <w:lang w:val="fr-FR"/>
        </w:rPr>
      </w:pPr>
      <w:r>
        <w:rPr>
          <w:sz w:val="21"/>
          <w:lang w:val="fr-FR"/>
        </w:rPr>
        <w:t>Paiements par espèces, Orange Money, MTN MoMo et autres moyens.</w:t>
      </w:r>
    </w:p>
    <w:p>
      <w:pPr>
        <w:pStyle w:val="ListBullet"/>
        <w:numPr>
          <w:ilvl w:val="0"/>
          <w:numId w:val="1"/>
        </w:numPr>
        <w:spacing w:before="0" w:after="80"/>
        <w:ind w:hanging="216" w:left="504"/>
        <w:contextualSpacing/>
        <w:rPr>
          <w:lang w:val="fr-FR"/>
        </w:rPr>
      </w:pPr>
      <w:r>
        <w:rPr>
          <w:sz w:val="21"/>
          <w:lang w:val="fr-FR"/>
        </w:rPr>
        <w:t>Gestion des zones Standard et VIP.</w:t>
      </w:r>
    </w:p>
    <w:p>
      <w:pPr>
        <w:pStyle w:val="ListBullet"/>
        <w:numPr>
          <w:ilvl w:val="0"/>
          <w:numId w:val="1"/>
        </w:numPr>
        <w:spacing w:before="0" w:after="80"/>
        <w:ind w:hanging="216" w:left="504"/>
        <w:contextualSpacing/>
        <w:rPr>
          <w:lang w:val="fr-FR"/>
        </w:rPr>
      </w:pPr>
      <w:r>
        <w:rPr>
          <w:sz w:val="21"/>
          <w:lang w:val="fr-FR"/>
        </w:rPr>
        <w:t>Mode hors ligne avec synchronisation lorsque la connexion revient.</w:t>
      </w:r>
    </w:p>
    <w:p>
      <w:pPr>
        <w:pStyle w:val="ListBullet"/>
        <w:numPr>
          <w:ilvl w:val="0"/>
          <w:numId w:val="1"/>
        </w:numPr>
        <w:spacing w:before="0" w:after="80"/>
        <w:ind w:hanging="216" w:left="504"/>
        <w:contextualSpacing/>
        <w:rPr>
          <w:lang w:val="fr-FR"/>
        </w:rPr>
      </w:pPr>
      <w:r>
        <w:rPr>
          <w:sz w:val="21"/>
          <w:lang w:val="fr-FR"/>
        </w:rPr>
        <w:t>Clôture journalière de caisse avec écarts entre ventes cash et cash compté.</w:t>
      </w:r>
    </w:p>
    <w:p>
      <w:pPr>
        <w:pStyle w:val="ListBullet"/>
        <w:numPr>
          <w:ilvl w:val="0"/>
          <w:numId w:val="1"/>
        </w:numPr>
        <w:spacing w:before="0" w:after="80"/>
        <w:ind w:hanging="216" w:left="504"/>
        <w:contextualSpacing/>
        <w:rPr>
          <w:lang w:val="fr-FR"/>
        </w:rPr>
      </w:pPr>
      <w:r>
        <w:rPr>
          <w:sz w:val="21"/>
          <w:lang w:val="fr-FR"/>
        </w:rPr>
        <w:t>Gestion des produits, catégories, prix et disponibilités.</w:t>
      </w:r>
    </w:p>
    <w:p>
      <w:pPr>
        <w:pStyle w:val="ListBullet"/>
        <w:numPr>
          <w:ilvl w:val="0"/>
          <w:numId w:val="1"/>
        </w:numPr>
        <w:spacing w:before="0" w:after="80"/>
        <w:ind w:hanging="216" w:left="504"/>
        <w:contextualSpacing/>
        <w:rPr>
          <w:lang w:val="fr-FR"/>
        </w:rPr>
      </w:pPr>
      <w:r>
        <w:rPr>
          <w:sz w:val="21"/>
          <w:lang w:val="fr-FR"/>
        </w:rPr>
        <w:t>Gestion des matières premières, achats, mouvements et alertes de stock bas.</w:t>
      </w:r>
    </w:p>
    <w:p>
      <w:pPr>
        <w:pStyle w:val="ListBullet"/>
        <w:numPr>
          <w:ilvl w:val="0"/>
          <w:numId w:val="1"/>
        </w:numPr>
        <w:spacing w:before="0" w:after="80"/>
        <w:ind w:hanging="216" w:left="504"/>
        <w:contextualSpacing/>
        <w:rPr>
          <w:lang w:val="fr-FR"/>
        </w:rPr>
      </w:pPr>
      <w:r>
        <w:rPr>
          <w:sz w:val="21"/>
          <w:lang w:val="fr-FR"/>
        </w:rPr>
        <w:t>Recettes de produits avec déduction automatique des matières premières après vente.</w:t>
      </w:r>
    </w:p>
    <w:p>
      <w:pPr>
        <w:pStyle w:val="ListBullet"/>
        <w:numPr>
          <w:ilvl w:val="0"/>
          <w:numId w:val="1"/>
        </w:numPr>
        <w:spacing w:before="0" w:after="80"/>
        <w:ind w:hanging="216" w:left="504"/>
        <w:contextualSpacing/>
        <w:rPr>
          <w:lang w:val="fr-FR"/>
        </w:rPr>
      </w:pPr>
      <w:r>
        <w:rPr>
          <w:sz w:val="21"/>
          <w:lang w:val="fr-FR"/>
        </w:rPr>
        <w:t>Gestion des dépenses, tableau de bord, rapports de gestion et exports PDF.</w:t>
      </w:r>
    </w:p>
    <w:p>
      <w:pPr>
        <w:pStyle w:val="ListBullet"/>
        <w:numPr>
          <w:ilvl w:val="0"/>
          <w:numId w:val="1"/>
        </w:numPr>
        <w:spacing w:before="0" w:after="80"/>
        <w:ind w:hanging="216" w:left="504"/>
        <w:contextualSpacing/>
        <w:rPr>
          <w:lang w:val="fr-FR"/>
        </w:rPr>
      </w:pPr>
      <w:r>
        <w:rPr>
          <w:sz w:val="21"/>
          <w:lang w:val="fr-FR"/>
        </w:rPr>
        <w:t>Gestion des utilisateurs, rôles, présences, retards, absences, sanctions et retenues salariales.</w:t>
      </w:r>
    </w:p>
    <w:p>
      <w:pPr>
        <w:pStyle w:val="Heading1"/>
        <w:rPr>
          <w:lang w:val="fr-FR"/>
        </w:rPr>
      </w:pPr>
      <w:r>
        <w:rPr>
          <w:lang w:val="fr-FR"/>
        </w:rPr>
        <w:t>2. Offres commerciales proposées</w:t>
      </w:r>
    </w:p>
    <w:tbl>
      <w:tblPr>
        <w:tblW w:w="9792" w:type="dxa"/>
        <w:jc w:val="center"/>
        <w:tblInd w:w="0" w:type="dxa"/>
        <w:tblLayout w:type="fixed"/>
        <w:tblCellMar>
          <w:top w:w="120" w:type="dxa"/>
          <w:left w:w="140" w:type="dxa"/>
          <w:bottom w:w="120" w:type="dxa"/>
          <w:right w:w="140" w:type="dxa"/>
        </w:tblCellMar>
        <w:tblLook w:val="04a0" w:noHBand="0" w:noVBand="1" w:firstColumn="1" w:lastRow="0" w:lastColumn="0" w:firstRow="1"/>
      </w:tblPr>
      <w:tblGrid>
        <w:gridCol w:w="2448"/>
        <w:gridCol w:w="2448"/>
        <w:gridCol w:w="2448"/>
        <w:gridCol w:w="2447"/>
      </w:tblGrid>
      <w:tr>
        <w:trPr/>
        <w:tc>
          <w:tcPr>
            <w:tcW w:w="2448" w:type="dxa"/>
            <w:tcBorders>
              <w:top w:val="single" w:sz="6" w:space="0" w:color="D9E2EC"/>
              <w:left w:val="single" w:sz="6" w:space="0" w:color="D9E2EC"/>
              <w:bottom w:val="single" w:sz="6" w:space="0" w:color="D9E2EC"/>
              <w:right w:val="single" w:sz="6" w:space="0" w:color="D9E2EC"/>
            </w:tcBorders>
            <w:shd w:fill="1F4D78"/>
          </w:tcPr>
          <w:p>
            <w:pPr>
              <w:pStyle w:val="Normal"/>
              <w:spacing w:lineRule="auto" w:line="276" w:before="0" w:after="0"/>
              <w:jc w:val="center"/>
              <w:rPr>
                <w:lang w:val="fr-FR"/>
              </w:rPr>
            </w:pPr>
            <w:r>
              <w:rPr>
                <w:b/>
                <w:color w:val="FFFFFF"/>
                <w:sz w:val="21"/>
                <w:lang w:val="fr-FR"/>
              </w:rPr>
              <w:t>Forfait</w:t>
            </w:r>
          </w:p>
        </w:tc>
        <w:tc>
          <w:tcPr>
            <w:tcW w:w="2448" w:type="dxa"/>
            <w:tcBorders>
              <w:top w:val="single" w:sz="6" w:space="0" w:color="D9E2EC"/>
              <w:left w:val="single" w:sz="6" w:space="0" w:color="D9E2EC"/>
              <w:bottom w:val="single" w:sz="6" w:space="0" w:color="D9E2EC"/>
              <w:right w:val="single" w:sz="6" w:space="0" w:color="D9E2EC"/>
            </w:tcBorders>
            <w:shd w:fill="1F4D78"/>
          </w:tcPr>
          <w:p>
            <w:pPr>
              <w:pStyle w:val="Normal"/>
              <w:spacing w:lineRule="auto" w:line="276" w:before="0" w:after="0"/>
              <w:jc w:val="center"/>
              <w:rPr>
                <w:lang w:val="fr-FR"/>
              </w:rPr>
            </w:pPr>
            <w:r>
              <w:rPr>
                <w:b/>
                <w:color w:val="FFFFFF"/>
                <w:sz w:val="21"/>
                <w:lang w:val="fr-FR"/>
              </w:rPr>
              <w:t>Contenu principal</w:t>
            </w:r>
          </w:p>
        </w:tc>
        <w:tc>
          <w:tcPr>
            <w:tcW w:w="2448" w:type="dxa"/>
            <w:tcBorders>
              <w:top w:val="single" w:sz="6" w:space="0" w:color="D9E2EC"/>
              <w:left w:val="single" w:sz="6" w:space="0" w:color="D9E2EC"/>
              <w:bottom w:val="single" w:sz="6" w:space="0" w:color="D9E2EC"/>
              <w:right w:val="single" w:sz="6" w:space="0" w:color="D9E2EC"/>
            </w:tcBorders>
            <w:shd w:fill="1F4D78"/>
          </w:tcPr>
          <w:p>
            <w:pPr>
              <w:pStyle w:val="Normal"/>
              <w:spacing w:lineRule="auto" w:line="276" w:before="0" w:after="0"/>
              <w:jc w:val="center"/>
              <w:rPr>
                <w:lang w:val="fr-FR"/>
              </w:rPr>
            </w:pPr>
            <w:r>
              <w:rPr>
                <w:b/>
                <w:color w:val="FFFFFF"/>
                <w:sz w:val="21"/>
                <w:lang w:val="fr-FR"/>
              </w:rPr>
              <w:t>Paiement initial</w:t>
            </w:r>
          </w:p>
        </w:tc>
        <w:tc>
          <w:tcPr>
            <w:tcW w:w="2447" w:type="dxa"/>
            <w:tcBorders>
              <w:top w:val="single" w:sz="6" w:space="0" w:color="D9E2EC"/>
              <w:left w:val="single" w:sz="6" w:space="0" w:color="D9E2EC"/>
              <w:bottom w:val="single" w:sz="6" w:space="0" w:color="D9E2EC"/>
              <w:right w:val="single" w:sz="6" w:space="0" w:color="D9E2EC"/>
            </w:tcBorders>
            <w:shd w:fill="1F4D78"/>
          </w:tcPr>
          <w:p>
            <w:pPr>
              <w:pStyle w:val="Normal"/>
              <w:spacing w:lineRule="auto" w:line="276" w:before="0" w:after="0"/>
              <w:jc w:val="center"/>
              <w:rPr>
                <w:lang w:val="fr-FR"/>
              </w:rPr>
            </w:pPr>
            <w:r>
              <w:rPr>
                <w:b/>
                <w:color w:val="FFFFFF"/>
                <w:sz w:val="21"/>
                <w:lang w:val="fr-FR"/>
              </w:rPr>
              <w:t>Mensualité</w:t>
            </w:r>
          </w:p>
        </w:tc>
      </w:tr>
      <w:tr>
        <w:trPr/>
        <w:tc>
          <w:tcPr>
            <w:tcW w:w="2448" w:type="dxa"/>
            <w:tcBorders>
              <w:top w:val="single" w:sz="6" w:space="0" w:color="D9E2EC"/>
              <w:left w:val="single" w:sz="6" w:space="0" w:color="D9E2EC"/>
              <w:bottom w:val="single" w:sz="6" w:space="0" w:color="D9E2EC"/>
              <w:right w:val="single" w:sz="6" w:space="0" w:color="D9E2EC"/>
            </w:tcBorders>
            <w:shd w:fill="F4F6F9"/>
            <w:tcMar>
              <w:top w:w="140" w:type="dxa"/>
              <w:bottom w:w="140" w:type="dxa"/>
            </w:tcMar>
            <w:vAlign w:val="center"/>
          </w:tcPr>
          <w:p>
            <w:pPr>
              <w:pStyle w:val="Normal"/>
              <w:spacing w:lineRule="auto" w:line="276" w:before="0" w:after="0"/>
              <w:rPr>
                <w:lang w:val="fr-FR"/>
              </w:rPr>
            </w:pPr>
            <w:r>
              <w:rPr>
                <w:b/>
                <w:color w:val="111111"/>
                <w:sz w:val="21"/>
                <w:lang w:val="fr-FR"/>
              </w:rPr>
              <w:t>Forfait A</w:t>
              <w:br/>
              <w:t>Installation + abonnement</w:t>
            </w:r>
          </w:p>
        </w:tc>
        <w:tc>
          <w:tcPr>
            <w:tcW w:w="2448" w:type="dxa"/>
            <w:tcBorders>
              <w:top w:val="single" w:sz="6" w:space="0" w:color="D9E2EC"/>
              <w:left w:val="single" w:sz="6" w:space="0" w:color="D9E2EC"/>
              <w:bottom w:val="single" w:sz="6" w:space="0" w:color="D9E2EC"/>
              <w:right w:val="single" w:sz="6" w:space="0" w:color="D9E2EC"/>
            </w:tcBorders>
            <w:shd w:fill="FFFFFF"/>
            <w:tcMar>
              <w:top w:w="140" w:type="dxa"/>
              <w:bottom w:w="140" w:type="dxa"/>
            </w:tcMar>
            <w:vAlign w:val="center"/>
          </w:tcPr>
          <w:p>
            <w:pPr>
              <w:pStyle w:val="Normal"/>
              <w:spacing w:lineRule="auto" w:line="276" w:before="0" w:after="0"/>
              <w:rPr>
                <w:lang w:val="fr-FR"/>
              </w:rPr>
            </w:pPr>
            <w:r>
              <w:rPr>
                <w:b w:val="false"/>
                <w:color w:val="111111"/>
                <w:sz w:val="21"/>
                <w:lang w:val="fr-FR"/>
              </w:rPr>
              <w:t>Installation, personnalisation, paramétrage, formation, support gratuit 3 mois. Abonnement actif à partir du 4e mois.</w:t>
              <w:br/>
            </w:r>
            <w:r>
              <w:rPr>
                <w:b w:val="false"/>
                <w:color w:val="111111"/>
                <w:sz w:val="21"/>
                <w:lang w:val="fr-FR"/>
              </w:rPr>
              <w:t>Hébergement  sur 1 an gratuit</w:t>
            </w:r>
          </w:p>
        </w:tc>
        <w:tc>
          <w:tcPr>
            <w:tcW w:w="2448" w:type="dxa"/>
            <w:tcBorders>
              <w:top w:val="single" w:sz="6" w:space="0" w:color="D9E2EC"/>
              <w:left w:val="single" w:sz="6" w:space="0" w:color="D9E2EC"/>
              <w:bottom w:val="single" w:sz="6" w:space="0" w:color="D9E2EC"/>
              <w:right w:val="single" w:sz="6" w:space="0" w:color="D9E2EC"/>
            </w:tcBorders>
            <w:shd w:fill="FFFFFF"/>
            <w:tcMar>
              <w:top w:w="140" w:type="dxa"/>
              <w:bottom w:w="140" w:type="dxa"/>
            </w:tcMar>
            <w:vAlign w:val="center"/>
          </w:tcPr>
          <w:p>
            <w:pPr>
              <w:pStyle w:val="Normal"/>
              <w:spacing w:lineRule="auto" w:line="276" w:before="0" w:after="0"/>
              <w:jc w:val="center"/>
              <w:rPr>
                <w:lang w:val="fr-FR"/>
              </w:rPr>
            </w:pPr>
            <w:r>
              <w:rPr>
                <w:b/>
                <w:color w:val="B91C1C"/>
                <w:sz w:val="21"/>
                <w:lang w:val="fr-FR"/>
              </w:rPr>
              <w:t>250 000 FCFA</w:t>
            </w:r>
          </w:p>
        </w:tc>
        <w:tc>
          <w:tcPr>
            <w:tcW w:w="2447" w:type="dxa"/>
            <w:tcBorders>
              <w:top w:val="single" w:sz="6" w:space="0" w:color="D9E2EC"/>
              <w:left w:val="single" w:sz="6" w:space="0" w:color="D9E2EC"/>
              <w:bottom w:val="single" w:sz="6" w:space="0" w:color="D9E2EC"/>
              <w:right w:val="single" w:sz="6" w:space="0" w:color="D9E2EC"/>
            </w:tcBorders>
            <w:shd w:fill="FFFFFF"/>
            <w:tcMar>
              <w:top w:w="140" w:type="dxa"/>
              <w:bottom w:w="140" w:type="dxa"/>
            </w:tcMar>
            <w:vAlign w:val="center"/>
          </w:tcPr>
          <w:p>
            <w:pPr>
              <w:pStyle w:val="Normal"/>
              <w:spacing w:lineRule="auto" w:line="276" w:before="0" w:after="0"/>
              <w:jc w:val="center"/>
              <w:rPr>
                <w:lang w:val="fr-FR"/>
              </w:rPr>
            </w:pPr>
            <w:r>
              <w:rPr>
                <w:b/>
                <w:color w:val="B91C1C"/>
                <w:sz w:val="21"/>
                <w:lang w:val="fr-FR"/>
              </w:rPr>
              <w:t>60 000 FCFA/mois</w:t>
            </w:r>
          </w:p>
        </w:tc>
      </w:tr>
      <w:tr>
        <w:trPr/>
        <w:tc>
          <w:tcPr>
            <w:tcW w:w="2448" w:type="dxa"/>
            <w:tcBorders>
              <w:top w:val="single" w:sz="6" w:space="0" w:color="D9E2EC"/>
              <w:left w:val="single" w:sz="6" w:space="0" w:color="D9E2EC"/>
              <w:bottom w:val="single" w:sz="6" w:space="0" w:color="D9E2EC"/>
              <w:right w:val="single" w:sz="6" w:space="0" w:color="D9E2EC"/>
            </w:tcBorders>
            <w:shd w:fill="F4F6F9"/>
            <w:tcMar>
              <w:top w:w="140" w:type="dxa"/>
              <w:bottom w:w="140" w:type="dxa"/>
            </w:tcMar>
            <w:vAlign w:val="center"/>
          </w:tcPr>
          <w:p>
            <w:pPr>
              <w:pStyle w:val="Normal"/>
              <w:spacing w:lineRule="auto" w:line="276" w:before="0" w:after="0"/>
              <w:rPr>
                <w:lang w:val="fr-FR"/>
              </w:rPr>
            </w:pPr>
            <w:r>
              <w:rPr>
                <w:b/>
                <w:color w:val="111111"/>
                <w:sz w:val="21"/>
                <w:lang w:val="fr-FR"/>
              </w:rPr>
              <w:t>Forfait B</w:t>
              <w:br/>
              <w:t>Vente complète + code source</w:t>
            </w:r>
          </w:p>
        </w:tc>
        <w:tc>
          <w:tcPr>
            <w:tcW w:w="2448" w:type="dxa"/>
            <w:tcBorders>
              <w:top w:val="single" w:sz="6" w:space="0" w:color="D9E2EC"/>
              <w:left w:val="single" w:sz="6" w:space="0" w:color="D9E2EC"/>
              <w:bottom w:val="single" w:sz="6" w:space="0" w:color="D9E2EC"/>
              <w:right w:val="single" w:sz="6" w:space="0" w:color="D9E2EC"/>
            </w:tcBorders>
            <w:shd w:fill="FFFFFF"/>
            <w:tcMar>
              <w:top w:w="140" w:type="dxa"/>
              <w:bottom w:w="140" w:type="dxa"/>
            </w:tcMar>
            <w:vAlign w:val="center"/>
          </w:tcPr>
          <w:p>
            <w:pPr>
              <w:pStyle w:val="Normal"/>
              <w:spacing w:lineRule="auto" w:line="276" w:before="0" w:after="0"/>
              <w:rPr>
                <w:lang w:val="fr-FR"/>
              </w:rPr>
            </w:pPr>
            <w:r>
              <w:rPr>
                <w:b w:val="false"/>
                <w:color w:val="111111"/>
                <w:sz w:val="21"/>
                <w:lang w:val="fr-FR"/>
              </w:rPr>
              <w:t>Remise du système et du code source pour usage interne, installation, personnalisation, formation, maintenance gratuite 3 mois.</w:t>
            </w:r>
          </w:p>
          <w:p>
            <w:pPr>
              <w:pStyle w:val="Normal"/>
              <w:spacing w:lineRule="auto" w:line="276" w:before="0" w:after="0"/>
              <w:rPr>
                <w:lang w:val="fr-FR"/>
              </w:rPr>
            </w:pPr>
            <w:r>
              <w:rPr>
                <w:b w:val="false"/>
                <w:color w:val="111111"/>
                <w:sz w:val="21"/>
                <w:lang w:val="fr-FR"/>
              </w:rPr>
              <w:t>Hébergement sur 1 an gratuit</w:t>
            </w:r>
          </w:p>
        </w:tc>
        <w:tc>
          <w:tcPr>
            <w:tcW w:w="2448" w:type="dxa"/>
            <w:tcBorders>
              <w:top w:val="single" w:sz="6" w:space="0" w:color="D9E2EC"/>
              <w:left w:val="single" w:sz="6" w:space="0" w:color="D9E2EC"/>
              <w:bottom w:val="single" w:sz="6" w:space="0" w:color="D9E2EC"/>
              <w:right w:val="single" w:sz="6" w:space="0" w:color="D9E2EC"/>
            </w:tcBorders>
            <w:shd w:fill="FFFFFF"/>
            <w:tcMar>
              <w:top w:w="140" w:type="dxa"/>
              <w:bottom w:w="140" w:type="dxa"/>
            </w:tcMar>
            <w:vAlign w:val="center"/>
          </w:tcPr>
          <w:p>
            <w:pPr>
              <w:pStyle w:val="Normal"/>
              <w:spacing w:lineRule="auto" w:line="276" w:before="0" w:after="0"/>
              <w:jc w:val="center"/>
              <w:rPr>
                <w:lang w:val="fr-FR"/>
              </w:rPr>
            </w:pPr>
            <w:r>
              <w:rPr>
                <w:b/>
                <w:color w:val="B91C1C"/>
                <w:sz w:val="21"/>
                <w:lang w:val="fr-FR"/>
              </w:rPr>
              <w:t xml:space="preserve">2 </w:t>
            </w:r>
            <w:r>
              <w:rPr>
                <w:b/>
                <w:color w:val="B91C1C"/>
                <w:sz w:val="21"/>
                <w:lang w:val="fr-FR"/>
              </w:rPr>
              <w:t>34</w:t>
            </w:r>
            <w:r>
              <w:rPr>
                <w:b/>
                <w:color w:val="B91C1C"/>
                <w:sz w:val="21"/>
                <w:lang w:val="fr-FR"/>
              </w:rPr>
              <w:t>0 000 FCFA</w:t>
            </w:r>
          </w:p>
        </w:tc>
        <w:tc>
          <w:tcPr>
            <w:tcW w:w="2447" w:type="dxa"/>
            <w:tcBorders>
              <w:top w:val="single" w:sz="6" w:space="0" w:color="D9E2EC"/>
              <w:left w:val="single" w:sz="6" w:space="0" w:color="D9E2EC"/>
              <w:bottom w:val="single" w:sz="6" w:space="0" w:color="D9E2EC"/>
              <w:right w:val="single" w:sz="6" w:space="0" w:color="D9E2EC"/>
            </w:tcBorders>
            <w:shd w:fill="FFFFFF"/>
            <w:tcMar>
              <w:top w:w="140" w:type="dxa"/>
              <w:bottom w:w="140" w:type="dxa"/>
            </w:tcMar>
            <w:vAlign w:val="center"/>
          </w:tcPr>
          <w:p>
            <w:pPr>
              <w:pStyle w:val="Normal"/>
              <w:spacing w:lineRule="auto" w:line="276" w:before="0" w:after="0"/>
              <w:jc w:val="center"/>
              <w:rPr>
                <w:lang w:val="fr-FR"/>
              </w:rPr>
            </w:pPr>
            <w:r>
              <w:rPr>
                <w:b/>
                <w:color w:val="B91C1C"/>
                <w:sz w:val="21"/>
                <w:lang w:val="fr-FR"/>
              </w:rPr>
              <w:t>Maintenance optionnelle</w:t>
              <w:br/>
              <w:t>60 000 FCFA/mois</w:t>
            </w:r>
          </w:p>
        </w:tc>
      </w:tr>
    </w:tbl>
    <w:p>
      <w:pPr>
        <w:pStyle w:val="Normal"/>
        <w:rPr>
          <w:lang w:val="fr-FR"/>
        </w:rPr>
      </w:pPr>
      <w:r>
        <w:rPr>
          <w:lang w:val="fr-FR"/>
        </w:rPr>
      </w:r>
    </w:p>
    <w:p>
      <w:pPr>
        <w:pStyle w:val="Heading1"/>
        <w:rPr>
          <w:lang w:val="fr-FR"/>
        </w:rPr>
      </w:pPr>
      <w:r>
        <w:rPr>
          <w:lang w:val="fr-FR"/>
        </w:rPr>
        <w:t>3. Détail du Forfait A - Installation + mensualité</w:t>
      </w:r>
    </w:p>
    <w:p>
      <w:pPr>
        <w:pStyle w:val="Normal"/>
        <w:jc w:val="both"/>
        <w:rPr>
          <w:lang w:val="fr-FR"/>
        </w:rPr>
      </w:pPr>
      <w:r>
        <w:rPr>
          <w:lang w:val="fr-FR"/>
        </w:rPr>
        <w:t>Cette formule permet au restaurant de démarrer avec un budget accessible, tout en bénéficiant d'un accompagnement continu. Le client ne paie que l'installation au départ. L'abonnement mensuel commence uniquement après les trois premiers mois d'utilisation.</w:t>
      </w:r>
    </w:p>
    <w:p>
      <w:pPr>
        <w:pStyle w:val="ListBullet"/>
        <w:numPr>
          <w:ilvl w:val="0"/>
          <w:numId w:val="1"/>
        </w:numPr>
        <w:spacing w:before="0" w:after="80"/>
        <w:ind w:hanging="216" w:left="504"/>
        <w:contextualSpacing/>
        <w:rPr>
          <w:lang w:val="fr-FR"/>
        </w:rPr>
      </w:pPr>
      <w:r>
        <w:rPr>
          <w:sz w:val="21"/>
          <w:lang w:val="fr-FR"/>
        </w:rPr>
        <w:t>Montant à payer au démarrage : 250 000 FCFA.</w:t>
      </w:r>
    </w:p>
    <w:p>
      <w:pPr>
        <w:pStyle w:val="ListBullet"/>
        <w:numPr>
          <w:ilvl w:val="0"/>
          <w:numId w:val="1"/>
        </w:numPr>
        <w:spacing w:before="0" w:after="80"/>
        <w:ind w:hanging="216" w:left="504"/>
        <w:contextualSpacing/>
        <w:rPr>
          <w:lang w:val="fr-FR"/>
        </w:rPr>
      </w:pPr>
      <w:r>
        <w:rPr>
          <w:sz w:val="21"/>
          <w:lang w:val="fr-FR"/>
        </w:rPr>
        <w:t>Trois premiers mois après installation : gratuits.</w:t>
      </w:r>
    </w:p>
    <w:p>
      <w:pPr>
        <w:pStyle w:val="ListBullet"/>
        <w:numPr>
          <w:ilvl w:val="0"/>
          <w:numId w:val="1"/>
        </w:numPr>
        <w:spacing w:before="0" w:after="80"/>
        <w:ind w:hanging="216" w:left="504"/>
        <w:contextualSpacing/>
        <w:rPr>
          <w:lang w:val="fr-FR"/>
        </w:rPr>
      </w:pPr>
      <w:r>
        <w:rPr>
          <w:sz w:val="21"/>
          <w:lang w:val="fr-FR"/>
        </w:rPr>
        <w:t>À partir du 4e mois : 60 000 FCFA par mois.</w:t>
      </w:r>
    </w:p>
    <w:p>
      <w:pPr>
        <w:pStyle w:val="ListBullet"/>
        <w:numPr>
          <w:ilvl w:val="0"/>
          <w:numId w:val="1"/>
        </w:numPr>
        <w:spacing w:before="0" w:after="80"/>
        <w:ind w:hanging="216" w:left="504"/>
        <w:contextualSpacing/>
        <w:rPr>
          <w:lang w:val="fr-FR"/>
        </w:rPr>
      </w:pPr>
      <w:r>
        <w:rPr>
          <w:sz w:val="21"/>
          <w:lang w:val="fr-FR"/>
        </w:rPr>
        <w:t>Support, petites corrections, assistance utilisateur et maintenance courante inclus dans la mensualité.</w:t>
      </w:r>
    </w:p>
    <w:p>
      <w:pPr>
        <w:pStyle w:val="Heading1"/>
        <w:rPr>
          <w:lang w:val="fr-FR"/>
        </w:rPr>
      </w:pPr>
      <w:r>
        <w:rPr>
          <w:lang w:val="fr-FR"/>
        </w:rPr>
        <w:t>4. Détail du Forfait B - Vente complète avec code source</w:t>
      </w:r>
    </w:p>
    <w:p>
      <w:pPr>
        <w:pStyle w:val="Normal"/>
        <w:jc w:val="both"/>
        <w:rPr>
          <w:lang w:val="fr-FR"/>
        </w:rPr>
      </w:pPr>
      <w:r>
        <w:rPr>
          <w:lang w:val="fr-FR"/>
        </w:rPr>
        <w:t>Cette formule est destinée au client qui souhaite que la solution devienne son propre système interne. Elle inclut la remise du code source, l'installation et la personnalisation. La maintenance reste gratuite pendant trois mois après installation, puis devient optionnelle et payante.</w:t>
      </w:r>
    </w:p>
    <w:p>
      <w:pPr>
        <w:pStyle w:val="ListBullet"/>
        <w:numPr>
          <w:ilvl w:val="0"/>
          <w:numId w:val="1"/>
        </w:numPr>
        <w:spacing w:before="0" w:after="80"/>
        <w:ind w:hanging="216" w:left="504"/>
        <w:contextualSpacing/>
        <w:rPr>
          <w:lang w:val="fr-FR"/>
        </w:rPr>
      </w:pPr>
      <w:r>
        <w:rPr>
          <w:sz w:val="21"/>
          <w:lang w:val="fr-FR"/>
        </w:rPr>
        <w:t>Prix de vente complète avec code source : 2 500 000 FCFA.</w:t>
      </w:r>
    </w:p>
    <w:p>
      <w:pPr>
        <w:pStyle w:val="ListBullet"/>
        <w:numPr>
          <w:ilvl w:val="0"/>
          <w:numId w:val="1"/>
        </w:numPr>
        <w:spacing w:before="0" w:after="80"/>
        <w:ind w:hanging="216" w:left="504"/>
        <w:contextualSpacing/>
        <w:rPr>
          <w:lang w:val="fr-FR"/>
        </w:rPr>
      </w:pPr>
      <w:r>
        <w:rPr>
          <w:sz w:val="21"/>
          <w:lang w:val="fr-FR"/>
        </w:rPr>
        <w:t>Maintenance gratuite pendant les 3 premiers mois après installation.</w:t>
      </w:r>
    </w:p>
    <w:p>
      <w:pPr>
        <w:pStyle w:val="ListBullet"/>
        <w:numPr>
          <w:ilvl w:val="0"/>
          <w:numId w:val="1"/>
        </w:numPr>
        <w:spacing w:before="0" w:after="80"/>
        <w:ind w:hanging="216" w:left="504"/>
        <w:contextualSpacing/>
        <w:rPr>
          <w:lang w:val="fr-FR"/>
        </w:rPr>
      </w:pPr>
      <w:r>
        <w:rPr>
          <w:sz w:val="21"/>
          <w:lang w:val="fr-FR"/>
        </w:rPr>
        <w:t>Maintenance optionnelle à partir du 4e mois : 60 000 FCFA par mois.</w:t>
      </w:r>
    </w:p>
    <w:p>
      <w:pPr>
        <w:pStyle w:val="ListBullet"/>
        <w:numPr>
          <w:ilvl w:val="0"/>
          <w:numId w:val="1"/>
        </w:numPr>
        <w:spacing w:before="0" w:after="80"/>
        <w:ind w:hanging="216" w:left="504"/>
        <w:contextualSpacing/>
        <w:rPr>
          <w:lang w:val="fr-FR"/>
        </w:rPr>
      </w:pPr>
      <w:r>
        <w:rPr>
          <w:sz w:val="21"/>
          <w:lang w:val="fr-FR"/>
        </w:rPr>
        <w:t>Le droit inclus couvre l'utilisation et l'évolution interne du système par Restaurant Kitchen Plus.</w:t>
      </w:r>
    </w:p>
    <w:p>
      <w:pPr>
        <w:pStyle w:val="ListBullet"/>
        <w:numPr>
          <w:ilvl w:val="0"/>
          <w:numId w:val="1"/>
        </w:numPr>
        <w:spacing w:before="0" w:after="80"/>
        <w:ind w:hanging="216" w:left="504"/>
        <w:contextualSpacing/>
        <w:rPr>
          <w:lang w:val="fr-FR"/>
        </w:rPr>
      </w:pPr>
      <w:r>
        <w:rPr>
          <w:sz w:val="21"/>
          <w:lang w:val="fr-FR"/>
        </w:rPr>
        <w:t>La revente commerciale du logiciel à des tiers n'est pas incluse et doit faire l'objet d'un accord séparé.</w:t>
      </w:r>
    </w:p>
    <w:p>
      <w:pPr>
        <w:pStyle w:val="Heading1"/>
        <w:rPr>
          <w:lang w:val="fr-FR"/>
        </w:rPr>
      </w:pPr>
      <w:r>
        <w:rPr>
          <w:lang w:val="fr-FR"/>
        </w:rPr>
        <w:t>5. Conditions de paiement</w:t>
      </w:r>
    </w:p>
    <w:tbl>
      <w:tblPr>
        <w:tblW w:w="9792" w:type="dxa"/>
        <w:jc w:val="center"/>
        <w:tblInd w:w="0" w:type="dxa"/>
        <w:tblLayout w:type="fixed"/>
        <w:tblCellMar>
          <w:top w:w="120" w:type="dxa"/>
          <w:left w:w="140" w:type="dxa"/>
          <w:bottom w:w="120" w:type="dxa"/>
          <w:right w:w="140" w:type="dxa"/>
        </w:tblCellMar>
        <w:tblLook w:val="04a0" w:noHBand="0" w:noVBand="1" w:firstColumn="1" w:lastRow="0" w:lastColumn="0" w:firstRow="1"/>
      </w:tblPr>
      <w:tblGrid>
        <w:gridCol w:w="3264"/>
        <w:gridCol w:w="3264"/>
        <w:gridCol w:w="3264"/>
      </w:tblGrid>
      <w:tr>
        <w:trPr/>
        <w:tc>
          <w:tcPr>
            <w:tcW w:w="3264" w:type="dxa"/>
            <w:tcBorders>
              <w:top w:val="single" w:sz="6" w:space="0" w:color="D9E2EC"/>
              <w:left w:val="single" w:sz="6" w:space="0" w:color="D9E2EC"/>
              <w:bottom w:val="single" w:sz="6" w:space="0" w:color="D9E2EC"/>
              <w:right w:val="single" w:sz="6" w:space="0" w:color="D9E2EC"/>
            </w:tcBorders>
            <w:shd w:fill="1F4D78"/>
          </w:tcPr>
          <w:p>
            <w:pPr>
              <w:pStyle w:val="Normal"/>
              <w:spacing w:lineRule="auto" w:line="276" w:before="0" w:after="0"/>
              <w:jc w:val="center"/>
              <w:rPr>
                <w:lang w:val="fr-FR"/>
              </w:rPr>
            </w:pPr>
            <w:r>
              <w:rPr>
                <w:b/>
                <w:color w:val="FFFFFF"/>
                <w:sz w:val="21"/>
                <w:lang w:val="fr-FR"/>
              </w:rPr>
              <w:t>Forfait</w:t>
            </w:r>
          </w:p>
        </w:tc>
        <w:tc>
          <w:tcPr>
            <w:tcW w:w="3264" w:type="dxa"/>
            <w:tcBorders>
              <w:top w:val="single" w:sz="6" w:space="0" w:color="D9E2EC"/>
              <w:left w:val="single" w:sz="6" w:space="0" w:color="D9E2EC"/>
              <w:bottom w:val="single" w:sz="6" w:space="0" w:color="D9E2EC"/>
              <w:right w:val="single" w:sz="6" w:space="0" w:color="D9E2EC"/>
            </w:tcBorders>
            <w:shd w:fill="1F4D78"/>
          </w:tcPr>
          <w:p>
            <w:pPr>
              <w:pStyle w:val="Normal"/>
              <w:spacing w:lineRule="auto" w:line="276" w:before="0" w:after="0"/>
              <w:jc w:val="center"/>
              <w:rPr>
                <w:lang w:val="fr-FR"/>
              </w:rPr>
            </w:pPr>
            <w:r>
              <w:rPr>
                <w:b/>
                <w:color w:val="FFFFFF"/>
                <w:sz w:val="21"/>
                <w:lang w:val="fr-FR"/>
              </w:rPr>
              <w:t>À la validation</w:t>
            </w:r>
          </w:p>
        </w:tc>
        <w:tc>
          <w:tcPr>
            <w:tcW w:w="3264" w:type="dxa"/>
            <w:tcBorders>
              <w:top w:val="single" w:sz="6" w:space="0" w:color="D9E2EC"/>
              <w:left w:val="single" w:sz="6" w:space="0" w:color="D9E2EC"/>
              <w:bottom w:val="single" w:sz="6" w:space="0" w:color="D9E2EC"/>
              <w:right w:val="single" w:sz="6" w:space="0" w:color="D9E2EC"/>
            </w:tcBorders>
            <w:shd w:fill="1F4D78"/>
          </w:tcPr>
          <w:p>
            <w:pPr>
              <w:pStyle w:val="Normal"/>
              <w:spacing w:lineRule="auto" w:line="276" w:before="0" w:after="0"/>
              <w:jc w:val="center"/>
              <w:rPr>
                <w:lang w:val="fr-FR"/>
              </w:rPr>
            </w:pPr>
            <w:r>
              <w:rPr>
                <w:b/>
                <w:color w:val="FFFFFF"/>
                <w:sz w:val="21"/>
                <w:lang w:val="fr-FR"/>
              </w:rPr>
              <w:t>Après installation</w:t>
            </w:r>
          </w:p>
        </w:tc>
      </w:tr>
      <w:tr>
        <w:trPr/>
        <w:tc>
          <w:tcPr>
            <w:tcW w:w="3264" w:type="dxa"/>
            <w:tcBorders>
              <w:top w:val="single" w:sz="6" w:space="0" w:color="D9E2EC"/>
              <w:left w:val="single" w:sz="6" w:space="0" w:color="D9E2EC"/>
              <w:bottom w:val="single" w:sz="6" w:space="0" w:color="D9E2EC"/>
              <w:right w:val="single" w:sz="6" w:space="0" w:color="D9E2EC"/>
            </w:tcBorders>
            <w:vAlign w:val="center"/>
          </w:tcPr>
          <w:p>
            <w:pPr>
              <w:pStyle w:val="Normal"/>
              <w:spacing w:lineRule="auto" w:line="276" w:before="0" w:after="0"/>
              <w:jc w:val="center"/>
              <w:rPr>
                <w:lang w:val="fr-FR"/>
              </w:rPr>
            </w:pPr>
            <w:r>
              <w:rPr>
                <w:b/>
                <w:color w:val="111111"/>
                <w:sz w:val="21"/>
                <w:lang w:val="fr-FR"/>
              </w:rPr>
              <w:t>Forfait A</w:t>
            </w:r>
          </w:p>
        </w:tc>
        <w:tc>
          <w:tcPr>
            <w:tcW w:w="3264" w:type="dxa"/>
            <w:tcBorders>
              <w:top w:val="single" w:sz="6" w:space="0" w:color="D9E2EC"/>
              <w:left w:val="single" w:sz="6" w:space="0" w:color="D9E2EC"/>
              <w:bottom w:val="single" w:sz="6" w:space="0" w:color="D9E2EC"/>
              <w:right w:val="single" w:sz="6" w:space="0" w:color="D9E2EC"/>
            </w:tcBorders>
            <w:vAlign w:val="center"/>
          </w:tcPr>
          <w:p>
            <w:pPr>
              <w:pStyle w:val="Normal"/>
              <w:spacing w:lineRule="auto" w:line="276" w:before="0" w:after="0"/>
              <w:jc w:val="center"/>
              <w:rPr>
                <w:lang w:val="fr-FR"/>
              </w:rPr>
            </w:pPr>
            <w:r>
              <w:rPr>
                <w:b w:val="false"/>
                <w:color w:val="111111"/>
                <w:sz w:val="21"/>
                <w:lang w:val="fr-FR"/>
              </w:rPr>
              <w:t>70 % soit 175 000 FCFA</w:t>
            </w:r>
          </w:p>
        </w:tc>
        <w:tc>
          <w:tcPr>
            <w:tcW w:w="3264" w:type="dxa"/>
            <w:tcBorders>
              <w:top w:val="single" w:sz="6" w:space="0" w:color="D9E2EC"/>
              <w:left w:val="single" w:sz="6" w:space="0" w:color="D9E2EC"/>
              <w:bottom w:val="single" w:sz="6" w:space="0" w:color="D9E2EC"/>
              <w:right w:val="single" w:sz="6" w:space="0" w:color="D9E2EC"/>
            </w:tcBorders>
            <w:vAlign w:val="center"/>
          </w:tcPr>
          <w:p>
            <w:pPr>
              <w:pStyle w:val="Normal"/>
              <w:spacing w:lineRule="auto" w:line="276" w:before="0" w:after="0"/>
              <w:jc w:val="center"/>
              <w:rPr>
                <w:lang w:val="fr-FR"/>
              </w:rPr>
            </w:pPr>
            <w:r>
              <w:rPr>
                <w:b w:val="false"/>
                <w:color w:val="111111"/>
                <w:sz w:val="21"/>
                <w:lang w:val="fr-FR"/>
              </w:rPr>
              <w:t>30 % soit 75 000 FCFA</w:t>
            </w:r>
          </w:p>
        </w:tc>
      </w:tr>
      <w:tr>
        <w:trPr/>
        <w:tc>
          <w:tcPr>
            <w:tcW w:w="3264" w:type="dxa"/>
            <w:tcBorders>
              <w:top w:val="single" w:sz="6" w:space="0" w:color="D9E2EC"/>
              <w:left w:val="single" w:sz="6" w:space="0" w:color="D9E2EC"/>
              <w:bottom w:val="single" w:sz="6" w:space="0" w:color="D9E2EC"/>
              <w:right w:val="single" w:sz="6" w:space="0" w:color="D9E2EC"/>
            </w:tcBorders>
            <w:vAlign w:val="center"/>
          </w:tcPr>
          <w:p>
            <w:pPr>
              <w:pStyle w:val="Normal"/>
              <w:spacing w:lineRule="auto" w:line="276" w:before="0" w:after="0"/>
              <w:jc w:val="center"/>
              <w:rPr>
                <w:lang w:val="fr-FR"/>
              </w:rPr>
            </w:pPr>
            <w:r>
              <w:rPr>
                <w:b/>
                <w:color w:val="111111"/>
                <w:sz w:val="21"/>
                <w:lang w:val="fr-FR"/>
              </w:rPr>
              <w:t>Forfait B</w:t>
            </w:r>
          </w:p>
        </w:tc>
        <w:tc>
          <w:tcPr>
            <w:tcW w:w="3264" w:type="dxa"/>
            <w:tcBorders>
              <w:top w:val="single" w:sz="6" w:space="0" w:color="D9E2EC"/>
              <w:left w:val="single" w:sz="6" w:space="0" w:color="D9E2EC"/>
              <w:bottom w:val="single" w:sz="6" w:space="0" w:color="D9E2EC"/>
              <w:right w:val="single" w:sz="6" w:space="0" w:color="D9E2EC"/>
            </w:tcBorders>
            <w:vAlign w:val="center"/>
          </w:tcPr>
          <w:p>
            <w:pPr>
              <w:pStyle w:val="Normal"/>
              <w:spacing w:lineRule="auto" w:line="276" w:before="0" w:after="0"/>
              <w:jc w:val="center"/>
              <w:rPr>
                <w:lang w:val="fr-FR"/>
              </w:rPr>
            </w:pPr>
            <w:r>
              <w:rPr>
                <w:b w:val="false"/>
                <w:color w:val="111111"/>
                <w:sz w:val="21"/>
                <w:lang w:val="fr-FR"/>
              </w:rPr>
              <w:t>60 % soit 1 500 000 FCFA</w:t>
            </w:r>
          </w:p>
        </w:tc>
        <w:tc>
          <w:tcPr>
            <w:tcW w:w="3264" w:type="dxa"/>
            <w:tcBorders>
              <w:top w:val="single" w:sz="6" w:space="0" w:color="D9E2EC"/>
              <w:left w:val="single" w:sz="6" w:space="0" w:color="D9E2EC"/>
              <w:bottom w:val="single" w:sz="6" w:space="0" w:color="D9E2EC"/>
              <w:right w:val="single" w:sz="6" w:space="0" w:color="D9E2EC"/>
            </w:tcBorders>
            <w:vAlign w:val="center"/>
          </w:tcPr>
          <w:p>
            <w:pPr>
              <w:pStyle w:val="Normal"/>
              <w:spacing w:lineRule="auto" w:line="276" w:before="0" w:after="0"/>
              <w:jc w:val="center"/>
              <w:rPr>
                <w:lang w:val="fr-FR"/>
              </w:rPr>
            </w:pPr>
            <w:r>
              <w:rPr>
                <w:b w:val="false"/>
                <w:color w:val="111111"/>
                <w:sz w:val="21"/>
                <w:lang w:val="fr-FR"/>
              </w:rPr>
              <w:t>40 % soit 1 000 000 FCFA</w:t>
            </w:r>
          </w:p>
        </w:tc>
      </w:tr>
    </w:tbl>
    <w:p>
      <w:pPr>
        <w:pStyle w:val="Normal"/>
        <w:rPr>
          <w:lang w:val="fr-FR"/>
        </w:rPr>
      </w:pPr>
      <w:r>
        <w:rPr>
          <w:lang w:val="fr-FR"/>
        </w:rPr>
      </w:r>
    </w:p>
    <w:p>
      <w:pPr>
        <w:pStyle w:val="Heading1"/>
        <w:rPr>
          <w:lang w:val="fr-FR"/>
        </w:rPr>
      </w:pPr>
      <w:r>
        <w:rPr>
          <w:lang w:val="fr-FR"/>
        </w:rPr>
        <w:t>6. Délai de livraison</w:t>
      </w:r>
    </w:p>
    <w:p>
      <w:pPr>
        <w:pStyle w:val="Normal"/>
        <w:rPr>
          <w:lang w:val="fr-FR"/>
        </w:rPr>
      </w:pPr>
      <w:r>
        <w:rPr>
          <w:lang w:val="fr-FR"/>
        </w:rPr>
        <w:t>Le délai estimé d'installation, de paramétrage et de formation est de 3 à 7 jours ouvrables, selon la disponibilité des informations du restaurant : menu, prix, logo, liste des utilisateurs et préférences de gestion.</w:t>
      </w:r>
    </w:p>
    <w:p>
      <w:pPr>
        <w:pStyle w:val="Heading1"/>
        <w:rPr>
          <w:lang w:val="fr-FR"/>
        </w:rPr>
      </w:pPr>
      <w:r>
        <w:rPr>
          <w:lang w:val="fr-FR"/>
        </w:rPr>
        <w:t>7. Pourquoi cette offre est avantageuse</w:t>
      </w:r>
    </w:p>
    <w:p>
      <w:pPr>
        <w:pStyle w:val="ListBullet"/>
        <w:numPr>
          <w:ilvl w:val="0"/>
          <w:numId w:val="1"/>
        </w:numPr>
        <w:spacing w:before="0" w:after="80"/>
        <w:ind w:hanging="216" w:left="504"/>
        <w:contextualSpacing/>
        <w:rPr>
          <w:lang w:val="fr-FR"/>
        </w:rPr>
      </w:pPr>
      <w:r>
        <w:rPr>
          <w:sz w:val="21"/>
          <w:lang w:val="fr-FR"/>
        </w:rPr>
        <w:t>Le restaurant garde le contrôle de ses ventes et limite les erreurs de caisse.</w:t>
      </w:r>
    </w:p>
    <w:p>
      <w:pPr>
        <w:pStyle w:val="ListBullet"/>
        <w:numPr>
          <w:ilvl w:val="0"/>
          <w:numId w:val="1"/>
        </w:numPr>
        <w:spacing w:before="0" w:after="80"/>
        <w:ind w:hanging="216" w:left="504"/>
        <w:contextualSpacing/>
        <w:rPr>
          <w:lang w:val="fr-FR"/>
        </w:rPr>
      </w:pPr>
      <w:r>
        <w:rPr>
          <w:sz w:val="21"/>
          <w:lang w:val="fr-FR"/>
        </w:rPr>
        <w:t>Les stocks sont mis à jour automatiquement après chaque vente.</w:t>
      </w:r>
    </w:p>
    <w:p>
      <w:pPr>
        <w:pStyle w:val="ListBullet"/>
        <w:numPr>
          <w:ilvl w:val="0"/>
          <w:numId w:val="1"/>
        </w:numPr>
        <w:spacing w:before="0" w:after="80"/>
        <w:ind w:hanging="216" w:left="504"/>
        <w:contextualSpacing/>
        <w:rPr>
          <w:lang w:val="fr-FR"/>
        </w:rPr>
      </w:pPr>
      <w:r>
        <w:rPr>
          <w:sz w:val="21"/>
          <w:lang w:val="fr-FR"/>
        </w:rPr>
        <w:t>Les dépenses, ventes et bénéfices deviennent plus faciles à suivre.</w:t>
      </w:r>
    </w:p>
    <w:p>
      <w:pPr>
        <w:pStyle w:val="ListBullet"/>
        <w:numPr>
          <w:ilvl w:val="0"/>
          <w:numId w:val="1"/>
        </w:numPr>
        <w:spacing w:before="0" w:after="80"/>
        <w:ind w:hanging="216" w:left="504"/>
        <w:contextualSpacing/>
        <w:rPr>
          <w:lang w:val="fr-FR"/>
        </w:rPr>
      </w:pPr>
      <w:r>
        <w:rPr>
          <w:sz w:val="21"/>
          <w:lang w:val="fr-FR"/>
        </w:rPr>
        <w:t>Le personnel peut continuer à vendre même en cas de coupure Internet.</w:t>
      </w:r>
    </w:p>
    <w:p>
      <w:pPr>
        <w:pStyle w:val="ListBullet"/>
        <w:numPr>
          <w:ilvl w:val="0"/>
          <w:numId w:val="1"/>
        </w:numPr>
        <w:spacing w:before="0" w:after="80"/>
        <w:ind w:hanging="216" w:left="504"/>
        <w:contextualSpacing/>
        <w:rPr>
          <w:lang w:val="fr-FR"/>
        </w:rPr>
      </w:pPr>
      <w:r>
        <w:rPr>
          <w:sz w:val="21"/>
          <w:lang w:val="fr-FR"/>
        </w:rPr>
        <w:t>Les trois premiers mois gratuits réduisent le risque pour le client et facilitent l'adoption.</w:t>
      </w:r>
    </w:p>
    <w:tbl>
      <w:tblPr>
        <w:tblW w:w="9792" w:type="dxa"/>
        <w:jc w:val="center"/>
        <w:tblInd w:w="0" w:type="dxa"/>
        <w:tblLayout w:type="fixed"/>
        <w:tblCellMar>
          <w:top w:w="160" w:type="dxa"/>
          <w:left w:w="180" w:type="dxa"/>
          <w:bottom w:w="160" w:type="dxa"/>
          <w:right w:w="180" w:type="dxa"/>
        </w:tblCellMar>
        <w:tblLook w:val="04a0" w:noHBand="0" w:noVBand="1" w:firstColumn="1" w:lastRow="0" w:lastColumn="0" w:firstRow="1"/>
      </w:tblPr>
      <w:tblGrid>
        <w:gridCol w:w="9792"/>
      </w:tblGrid>
      <w:tr>
        <w:trPr/>
        <w:tc>
          <w:tcPr>
            <w:tcW w:w="9792" w:type="dxa"/>
            <w:tcBorders>
              <w:top w:val="single" w:sz="6" w:space="0" w:color="CAD6E2"/>
              <w:left w:val="single" w:sz="6" w:space="0" w:color="CAD6E2"/>
              <w:bottom w:val="single" w:sz="6" w:space="0" w:color="CAD6E2"/>
              <w:right w:val="single" w:sz="6" w:space="0" w:color="CAD6E2"/>
            </w:tcBorders>
            <w:shd w:fill="FFF5F5"/>
          </w:tcPr>
          <w:p>
            <w:pPr>
              <w:pStyle w:val="Normal"/>
              <w:spacing w:before="0" w:after="80"/>
              <w:rPr>
                <w:lang w:val="fr-FR"/>
              </w:rPr>
            </w:pPr>
            <w:r>
              <w:rPr>
                <w:b/>
                <w:color w:val="1F4D78"/>
                <w:sz w:val="23"/>
                <w:lang w:val="fr-FR"/>
              </w:rPr>
              <w:t>Conclusion commerciale</w:t>
            </w:r>
          </w:p>
          <w:p>
            <w:pPr>
              <w:pStyle w:val="Normal"/>
              <w:spacing w:lineRule="auto" w:line="288" w:before="0" w:after="0"/>
              <w:rPr>
                <w:lang w:val="fr-FR"/>
              </w:rPr>
            </w:pPr>
            <w:r>
              <w:rPr>
                <w:color w:val="111111"/>
                <w:sz w:val="21"/>
                <w:lang w:val="fr-FR"/>
              </w:rPr>
              <w:t>Le Forfait A est recommandé pour commencer rapidement avec un coût d'entrée maîtrisé. Le Forfait B reste disponible pour Restaurant Kitchen Plus si l'objectif est de posséder le système avec son code source et de le faire évoluer en interne.</w:t>
            </w:r>
          </w:p>
        </w:tc>
      </w:tr>
    </w:tbl>
    <w:p>
      <w:pPr>
        <w:pStyle w:val="Normal"/>
        <w:rPr>
          <w:lang w:val="fr-FR"/>
        </w:rPr>
      </w:pPr>
      <w:r>
        <w:rPr>
          <w:lang w:val="fr-FR"/>
        </w:rPr>
      </w:r>
    </w:p>
    <w:p>
      <w:pPr>
        <w:pStyle w:val="Normal"/>
        <w:rPr>
          <w:lang w:val="fr-FR"/>
        </w:rPr>
      </w:pPr>
      <w:r>
        <w:rPr>
          <w:lang w:val="fr-FR"/>
        </w:rPr>
      </w:r>
    </w:p>
    <w:p>
      <w:pPr>
        <w:pStyle w:val="Normal"/>
        <w:spacing w:before="0" w:after="160"/>
        <w:jc w:val="right"/>
        <w:rPr>
          <w:lang w:val="fr-FR"/>
        </w:rPr>
      </w:pPr>
      <w:r>
        <w:rPr>
          <w:b/>
          <w:color w:val="1F4D78"/>
          <w:sz w:val="21"/>
          <w:lang w:val="fr-FR"/>
        </w:rPr>
        <w:t>Proposé par BENSCAM</w:t>
        <w:br/>
        <w:t>Développeur logiciel</w:t>
        <w:br/>
        <w:t>benoit610abah@gmail.com</w:t>
      </w:r>
    </w:p>
    <w:sectPr>
      <w:headerReference w:type="even" r:id="rId2"/>
      <w:headerReference w:type="default" r:id="rId3"/>
      <w:headerReference w:type="first" r:id="rId4"/>
      <w:footerReference w:type="even" r:id="rId5"/>
      <w:footerReference w:type="default" r:id="rId6"/>
      <w:footerReference w:type="first" r:id="rId7"/>
      <w:type w:val="nextPage"/>
      <w:pgSz w:w="12240" w:h="15840"/>
      <w:pgMar w:left="1224" w:right="1224" w:gutter="0" w:header="648" w:top="1152" w:footer="648" w:bottom="108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urier">
    <w:altName w:val="Courier New"/>
    <w:charset w:val="01"/>
    <w:family w:val="roman"/>
    <w:pitch w:val="variable"/>
  </w:font>
  <w:font w:name="Liberation Sans">
    <w:altName w:val="Arial"/>
    <w:charset w:val="01"/>
    <w:family w:val="swiss"/>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color w:val="666666"/>
        <w:sz w:val="18"/>
      </w:rPr>
      <w:t>BenoitHarck</w:t>
    </w:r>
    <w:r>
      <w:rPr>
        <w:color w:val="666666"/>
        <w:sz w:val="18"/>
      </w:rPr>
      <w:t xml:space="preserve"> - benoit610abah@gmail.com</w: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color w:val="666666"/>
        <w:sz w:val="18"/>
      </w:rPr>
      <w:t>BenoitHarck</w:t>
    </w:r>
    <w:r>
      <w:rPr>
        <w:color w:val="666666"/>
        <w:sz w:val="18"/>
      </w:rPr>
      <w:t xml:space="preserve"> - benoit610abah@gmail.com</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right"/>
      <w:rPr/>
    </w:pPr>
    <w:r>
      <w:rPr>
        <w:color w:val="666666"/>
        <w:sz w:val="18"/>
      </w:rPr>
      <w:t xml:space="preserve">Proforma commercial | </w:t>
    </w:r>
    <w:r>
      <w:rPr>
        <w:color w:val="666666"/>
        <w:sz w:val="18"/>
      </w:rPr>
      <w:t>BenoitHarck</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right"/>
      <w:rPr/>
    </w:pPr>
    <w:r>
      <w:rPr>
        <w:color w:val="666666"/>
        <w:sz w:val="18"/>
      </w:rPr>
      <w:t xml:space="preserve">Proforma commercial | </w:t>
    </w:r>
    <w:r>
      <w:rPr>
        <w:color w:val="666666"/>
        <w:sz w:val="18"/>
      </w:rPr>
      <w:t>BenoitHarck</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lvl w:ilvl="0">
      <w:start w:val="1"/>
      <w:numFmt w:val="decimal"/>
      <w:lvlText w:val="%1."/>
      <w:lvlJc w:val="left"/>
      <w:pPr>
        <w:tabs>
          <w:tab w:val="num" w:pos="1080"/>
        </w:tabs>
        <w:ind w:left="10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220"/>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300" w:before="0" w:after="160"/>
      <w:jc w:val="left"/>
    </w:pPr>
    <w:rPr>
      <w:rFonts w:ascii="Calibri" w:hAnsi="Calibri" w:eastAsia="ＭＳ 明朝" w:cs=""/>
      <w:color w:val="111111"/>
      <w:kern w:val="0"/>
      <w:sz w:val="22"/>
      <w:szCs w:val="22"/>
      <w:lang w:val="en-US" w:eastAsia="en-US" w:bidi="ar-SA"/>
    </w:rPr>
  </w:style>
  <w:style w:type="paragraph" w:styleId="Heading1">
    <w:name w:val="Heading 1"/>
    <w:basedOn w:val="Normal"/>
    <w:next w:val="Normal"/>
    <w:link w:val="Heading1Char"/>
    <w:uiPriority w:val="9"/>
    <w:qFormat/>
    <w:rsid w:val="00fc693f"/>
    <w:pPr>
      <w:keepNext w:val="true"/>
      <w:keepLines/>
      <w:spacing w:lineRule="auto" w:line="276" w:before="360" w:after="200"/>
      <w:outlineLvl w:val="0"/>
    </w:pPr>
    <w:rPr>
      <w:rFonts w:ascii="Calibri" w:hAnsi="Calibri" w:eastAsia="ＭＳ ゴシック" w:cs="" w:asciiTheme="majorHAnsi" w:cstheme="majorBidi" w:eastAsiaTheme="majorEastAsia" w:hAnsiTheme="majorHAnsi"/>
      <w:b/>
      <w:bCs/>
      <w:color w:val="1F4D78"/>
      <w:sz w:val="32"/>
      <w:szCs w:val="28"/>
    </w:rPr>
  </w:style>
  <w:style w:type="paragraph" w:styleId="Heading2">
    <w:name w:val="Heading 2"/>
    <w:basedOn w:val="Normal"/>
    <w:next w:val="Normal"/>
    <w:link w:val="Heading2Char"/>
    <w:uiPriority w:val="9"/>
    <w:unhideWhenUsed/>
    <w:qFormat/>
    <w:rsid w:val="00fc693f"/>
    <w:pPr>
      <w:keepNext w:val="true"/>
      <w:keepLines/>
      <w:spacing w:lineRule="auto" w:line="276" w:before="240" w:after="120"/>
      <w:outlineLvl w:val="1"/>
    </w:pPr>
    <w:rPr>
      <w:rFonts w:ascii="Calibri" w:hAnsi="Calibri" w:eastAsia="ＭＳ ゴシック" w:cs="" w:asciiTheme="majorHAnsi" w:cstheme="majorBidi" w:eastAsiaTheme="majorEastAsia" w:hAnsiTheme="majorHAnsi"/>
      <w:b/>
      <w:bCs/>
      <w:color w:val="1F4D78"/>
      <w:sz w:val="26"/>
      <w:szCs w:val="26"/>
    </w:rPr>
  </w:style>
  <w:style w:type="paragraph" w:styleId="Heading3">
    <w:name w:val="Heading 3"/>
    <w:basedOn w:val="Normal"/>
    <w:next w:val="Normal"/>
    <w:link w:val="Heading3Char"/>
    <w:uiPriority w:val="9"/>
    <w:unhideWhenUsed/>
    <w:qFormat/>
    <w:rsid w:val="00fc693f"/>
    <w:pPr>
      <w:keepNext w:val="true"/>
      <w:keepLines/>
      <w:spacing w:lineRule="auto" w:line="276" w:before="160" w:after="80"/>
      <w:outlineLvl w:val="2"/>
    </w:pPr>
    <w:rPr>
      <w:rFonts w:ascii="Calibri" w:hAnsi="Calibri" w:eastAsia="ＭＳ ゴシック" w:cs="" w:asciiTheme="majorHAnsi" w:cstheme="majorBidi" w:eastAsiaTheme="majorEastAsia" w:hAnsiTheme="majorHAnsi"/>
      <w:b/>
      <w:bCs/>
      <w:color w:val="1F4D78"/>
      <w:sz w:val="24"/>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uiPriority w:val="99"/>
    <w:qFormat/>
    <w:rsid w:val="00e618bf"/>
    <w:rPr/>
  </w:style>
  <w:style w:type="character" w:styleId="FooterChar" w:customStyle="1">
    <w:name w:val="Footer Char"/>
    <w:basedOn w:val="DefaultParagraphFont"/>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Titre">
    <w:name w:val="Titre"/>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160"/>
      <w:ind w:hanging="360" w:lef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Noto Sans Devanagari"/>
    </w:rPr>
  </w:style>
  <w:style w:type="paragraph" w:styleId="En-tteetpieddepage">
    <w:name w:val="En-tête et pied de page"/>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lef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160"/>
      <w:ind w:lef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160"/>
      <w:ind w:hanging="360" w:left="720"/>
      <w:contextualSpacing/>
    </w:pPr>
    <w:rPr/>
  </w:style>
  <w:style w:type="paragraph" w:styleId="List3">
    <w:name w:val="List 3"/>
    <w:basedOn w:val="Normal"/>
    <w:uiPriority w:val="99"/>
    <w:unhideWhenUsed/>
    <w:qFormat/>
    <w:rsid w:val="00326f90"/>
    <w:pPr>
      <w:spacing w:before="0" w:after="160"/>
      <w:ind w:hanging="360" w:left="1080"/>
      <w:contextualSpacing/>
    </w:pPr>
    <w:rPr/>
  </w:style>
  <w:style w:type="paragraph" w:styleId="ListBullet">
    <w:name w:val="List Bullet"/>
    <w:basedOn w:val="Normal"/>
    <w:uiPriority w:val="99"/>
    <w:unhideWhenUsed/>
    <w:rsid w:val="00326f90"/>
    <w:pPr>
      <w:numPr>
        <w:ilvl w:val="0"/>
        <w:numId w:val="1"/>
      </w:numPr>
      <w:spacing w:before="0" w:after="160"/>
      <w:contextualSpacing/>
    </w:pPr>
    <w:rPr/>
  </w:style>
  <w:style w:type="paragraph" w:styleId="ListBullet2">
    <w:name w:val="List Bullet 2"/>
    <w:basedOn w:val="Normal"/>
    <w:uiPriority w:val="99"/>
    <w:unhideWhenUsed/>
    <w:rsid w:val="00326f90"/>
    <w:pPr>
      <w:numPr>
        <w:ilvl w:val="0"/>
        <w:numId w:val="2"/>
      </w:numPr>
      <w:spacing w:before="0" w:after="160"/>
      <w:contextualSpacing/>
    </w:pPr>
    <w:rPr/>
  </w:style>
  <w:style w:type="paragraph" w:styleId="ListBullet3">
    <w:name w:val="List Bullet 3"/>
    <w:basedOn w:val="Normal"/>
    <w:uiPriority w:val="99"/>
    <w:unhideWhenUsed/>
    <w:rsid w:val="00326f90"/>
    <w:pPr>
      <w:numPr>
        <w:ilvl w:val="0"/>
        <w:numId w:val="3"/>
      </w:numPr>
      <w:spacing w:before="0" w:after="160"/>
      <w:contextualSpacing/>
    </w:pPr>
    <w:rPr/>
  </w:style>
  <w:style w:type="paragraph" w:styleId="ListNumber">
    <w:name w:val="List Number"/>
    <w:basedOn w:val="Normal"/>
    <w:uiPriority w:val="99"/>
    <w:unhideWhenUsed/>
    <w:rsid w:val="00326f90"/>
    <w:pPr>
      <w:numPr>
        <w:ilvl w:val="0"/>
        <w:numId w:val="4"/>
      </w:numPr>
      <w:spacing w:before="0" w:after="160"/>
      <w:contextualSpacing/>
    </w:pPr>
    <w:rPr/>
  </w:style>
  <w:style w:type="paragraph" w:styleId="ListNumber2">
    <w:name w:val="List Number 2"/>
    <w:basedOn w:val="Normal"/>
    <w:uiPriority w:val="99"/>
    <w:unhideWhenUsed/>
    <w:rsid w:val="0029639d"/>
    <w:pPr>
      <w:numPr>
        <w:ilvl w:val="0"/>
        <w:numId w:val="5"/>
      </w:numPr>
      <w:spacing w:before="0" w:after="160"/>
      <w:contextualSpacing/>
    </w:pPr>
    <w:rPr/>
  </w:style>
  <w:style w:type="paragraph" w:styleId="ListNumber3">
    <w:name w:val="List Number 3"/>
    <w:basedOn w:val="Normal"/>
    <w:uiPriority w:val="99"/>
    <w:unhideWhenUsed/>
    <w:rsid w:val="0029639d"/>
    <w:pPr>
      <w:numPr>
        <w:ilvl w:val="0"/>
        <w:numId w:val="6"/>
      </w:numPr>
      <w:spacing w:before="0" w:after="160"/>
      <w:contextualSpacing/>
    </w:pPr>
    <w:rPr/>
  </w:style>
  <w:style w:type="paragraph" w:styleId="ListContinue">
    <w:name w:val="List Continue"/>
    <w:basedOn w:val="Normal"/>
    <w:uiPriority w:val="99"/>
    <w:unhideWhenUsed/>
    <w:rsid w:val="0029639d"/>
    <w:pPr>
      <w:spacing w:before="0" w:after="120"/>
      <w:ind w:left="360"/>
      <w:contextualSpacing/>
    </w:pPr>
    <w:rPr/>
  </w:style>
  <w:style w:type="paragraph" w:styleId="ListContinue2">
    <w:name w:val="List Continue 2"/>
    <w:basedOn w:val="Normal"/>
    <w:uiPriority w:val="99"/>
    <w:unhideWhenUsed/>
    <w:rsid w:val="0029639d"/>
    <w:pPr>
      <w:spacing w:before="0" w:after="120"/>
      <w:ind w:left="720"/>
      <w:contextualSpacing/>
    </w:pPr>
    <w:rPr/>
  </w:style>
  <w:style w:type="paragraph" w:styleId="ListContinue3">
    <w:name w:val="List Continue 3"/>
    <w:basedOn w:val="Normal"/>
    <w:uiPriority w:val="99"/>
    <w:unhideWhenUsed/>
    <w:rsid w:val="0029639d"/>
    <w:pPr>
      <w:spacing w:before="0" w:after="120"/>
      <w:ind w:left="1080"/>
      <w:contextualSpacing/>
    </w:pPr>
    <w:rPr/>
  </w:style>
  <w:style w:type="paragraph" w:styleId="macro">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lef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themeColor="accent1" w:val="4F81BD"/>
    </w:rPr>
  </w:style>
  <w:style w:type="paragraph" w:styleId="IndexHeading">
    <w:name w:val="Index Heading"/>
    <w:basedOn w:val="Titre"/>
    <w:pPr/>
    <w:rPr/>
  </w:style>
  <w:style w:type="paragraph" w:styleId="TOCHeading">
    <w:name w:val="TOC Heading"/>
    <w:basedOn w:val="Heading1"/>
    <w:next w:val="Normal"/>
    <w:uiPriority w:val="39"/>
    <w:semiHidden/>
    <w:unhideWhenUsed/>
    <w:qFormat/>
    <w:rsid w:val="00fc693f"/>
    <w:pPr>
      <w:outlineLvl w:val="9"/>
    </w:pPr>
    <w:rPr/>
  </w:style>
  <w:style w:type="numbering" w:styleId="Pasdeliste" w:default="1">
    <w:name w:val="Pas de liste"/>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themeColor="text1"/>
      </w:rPr>
      <w:tblPr/>
      <w:tcPr>
        <w:shd w:val="clear" w:color="auto" w:fill="E6E6E6" w:themeFill="tex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themeColor="text1"/>
      </w:rPr>
      <w:tblPr/>
      <w:tcPr>
        <w:shd w:val="clear" w:color="auto" w:fill="EDF2F8" w:themeFill="accen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themeColor="text1"/>
      </w:rPr>
      <w:tblPr/>
      <w:tcPr>
        <w:shd w:val="clear" w:color="auto" w:fill="F8EDED" w:themeFill="accent2"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themeColor="text1"/>
      </w:rPr>
      <w:tblPr/>
      <w:tcPr>
        <w:shd w:val="clear" w:color="auto" w:fill="F5F8EE" w:themeFill="accent3"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themeColor="text1"/>
      </w:rPr>
      <w:tblPr/>
      <w:tcPr>
        <w:shd w:val="clear" w:color="auto" w:fill="F2EFF6" w:themeFill="accent4"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themeColor="text1"/>
      </w:rPr>
      <w:tblPr/>
      <w:tcPr>
        <w:shd w:val="clear" w:color="auto" w:fill="EDF6F9" w:themeFill="accent5"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themeColor="text1"/>
      </w:rPr>
      <w:tblPr/>
      <w:tcPr>
        <w:shd w:val="clear" w:color="auto" w:fill="FEF4EC" w:themeFill="accent6"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000000" w:themeFill="text1" w:themeFillShade="99"/>
      </w:tcPr>
    </w:tblStylePr>
    <w:tblStylePr w:type="firstCol">
      <w:rPr>
        <w:color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themeColor="text1"/>
      </w:rPr>
      <w:tblPr/>
    </w:tblStylePr>
    <w:tblStylePr w:type="nwCell">
      <w:rPr>
        <w:color w:themeColor="text1"/>
      </w:rPr>
      <w:tblPr/>
    </w:tblStylePr>
  </w:style>
  <w:style w:type="table" w:styleId="ColorfulShading-Accent1">
    <w:name w:val="Colorful Shading Accent 1"/>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C4C74" w:themeFill="accent1" w:themeFillShade="99"/>
      </w:tcPr>
    </w:tblStylePr>
    <w:tblStylePr w:type="firstCol">
      <w:rPr>
        <w:color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themeColor="text1"/>
      </w:rPr>
      <w:tblPr/>
    </w:tblStylePr>
    <w:tblStylePr w:type="nwCell">
      <w:rPr>
        <w:color w:themeColor="text1"/>
      </w:rPr>
      <w:tblPr/>
    </w:tblStylePr>
  </w:style>
  <w:style w:type="table" w:styleId="ColorfulShading-Accent2">
    <w:name w:val="Colorful Shading Accent 2"/>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772C2A" w:themeFill="accent2" w:themeFillShade="99"/>
      </w:tcPr>
    </w:tblStylePr>
    <w:tblStylePr w:type="firstCol">
      <w:rPr>
        <w:color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themeColor="text1"/>
      </w:rPr>
      <w:tblPr/>
    </w:tblStylePr>
    <w:tblStylePr w:type="nwCell">
      <w:rPr>
        <w:color w:themeColor="text1"/>
      </w:rPr>
      <w:tblPr/>
    </w:tblStylePr>
  </w:style>
  <w:style w:type="table" w:styleId="ColorfulShading-Accent3">
    <w:name w:val="Colorful Shading Accent 3"/>
    <w:basedOn w:val="TableNormal"/>
    <w:uiPriority w:val="71"/>
    <w:rsid w:val="00cb0664"/>
    <w:pPr>
      <w:spacing w:after="0" w:line="240" w:lineRule="auto"/>
    </w:pPr>
    <w:rPr>
      <w:color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5E7530" w:themeFill="accent3" w:themeFillShade="99"/>
      </w:tcPr>
    </w:tblStylePr>
    <w:tblStylePr w:type="firstCol">
      <w:rPr>
        <w:color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4C3B62" w:themeFill="accent4" w:themeFillShade="99"/>
      </w:tcPr>
    </w:tblStylePr>
    <w:tblStylePr w:type="firstCol">
      <w:rPr>
        <w:color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themeColor="text1"/>
      </w:rPr>
      <w:tblPr/>
    </w:tblStylePr>
    <w:tblStylePr w:type="nwCell">
      <w:rPr>
        <w:color w:themeColor="text1"/>
      </w:rPr>
      <w:tblPr/>
    </w:tblStylePr>
  </w:style>
  <w:style w:type="table" w:styleId="ColorfulShading-Accent5">
    <w:name w:val="Colorful Shading Accent 5"/>
    <w:basedOn w:val="TableNormal"/>
    <w:uiPriority w:val="71"/>
    <w:rsid w:val="00cb0664"/>
    <w:pPr>
      <w:spacing w:after="0" w:line="240" w:lineRule="auto"/>
    </w:pPr>
    <w:rPr>
      <w:color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76A7C" w:themeFill="accent5" w:themeFillShade="99"/>
      </w:tcPr>
    </w:tblStylePr>
    <w:tblStylePr w:type="firstCol">
      <w:rPr>
        <w:color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themeColor="text1"/>
      </w:rPr>
      <w:tblPr/>
    </w:tblStylePr>
    <w:tblStylePr w:type="nwCell">
      <w:rPr>
        <w:color w:themeColor="text1"/>
      </w:rPr>
      <w:tblPr/>
    </w:tblStylePr>
  </w:style>
  <w:style w:type="table" w:styleId="ColorfulShading-Accent6">
    <w:name w:val="Colorful Shading Accent 6"/>
    <w:basedOn w:val="TableNormal"/>
    <w:uiPriority w:val="71"/>
    <w:rsid w:val="00cb0664"/>
    <w:pPr>
      <w:spacing w:after="0" w:line="240" w:lineRule="auto"/>
    </w:pPr>
    <w:rPr>
      <w:color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B65608" w:themeFill="accent6" w:themeFillShade="99"/>
      </w:tcPr>
    </w:tblStylePr>
    <w:tblStylePr w:type="firstCol">
      <w:rPr>
        <w:color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themeColor="text1"/>
      </w:rPr>
      <w:tblPr/>
    </w:tblStylePr>
    <w:tblStylePr w:type="nwCell">
      <w:rPr>
        <w:color w:themeColor="text1"/>
      </w:rPr>
      <w:tblPr/>
    </w:tblStylePr>
  </w:style>
  <w:style w:type="table" w:styleId="ColorfulList">
    <w:name w:val="Colorful List"/>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themeColor="background1"/>
      </w:rPr>
      <w:tblPr/>
      <w:tcPr>
        <w:tcBorders>
          <w:bottom w:val="single" w:color="FFFFFF" w:themeColor="background1" w:sz="12" w:space="0"/>
        </w:tcBorders>
        <w:shd w:val="clear" w:color="auto" w:fill="664E82" w:themeFill="accent4" w:themeFillShade="cc"/>
      </w:tcPr>
    </w:tblStylePr>
    <w:tblStylePr w:type="lastRow">
      <w:rPr>
        <w:b/>
        <w:bCs/>
        <w:color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themeColor="background1"/>
      </w:rPr>
      <w:tblPr/>
      <w:tcPr>
        <w:tcBorders>
          <w:bottom w:val="single" w:color="FFFFFF" w:themeColor="background1" w:sz="12" w:space="0"/>
        </w:tcBorders>
        <w:shd w:val="clear" w:color="auto" w:fill="7E9C40" w:themeFill="accent3" w:themeFillShade="cc"/>
      </w:tcPr>
    </w:tblStylePr>
    <w:tblStylePr w:type="lastRow">
      <w:rPr>
        <w:b/>
        <w:bCs/>
        <w:color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themeColor="background1"/>
      </w:rPr>
      <w:tblPr/>
      <w:tcPr>
        <w:tcBorders>
          <w:bottom w:val="single" w:color="FFFFFF" w:themeColor="background1" w:sz="12" w:space="0"/>
        </w:tcBorders>
        <w:shd w:val="clear" w:color="auto" w:fill="F2730A" w:themeFill="accent6" w:themeFillShade="cc"/>
      </w:tcPr>
    </w:tblStylePr>
    <w:tblStylePr w:type="lastRow">
      <w:rPr>
        <w:b/>
        <w:bCs/>
        <w:color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themeColor="background1"/>
      </w:rPr>
      <w:tblPr/>
      <w:tcPr>
        <w:tcBorders>
          <w:bottom w:val="single" w:color="FFFFFF" w:themeColor="background1" w:sz="12" w:space="0"/>
        </w:tcBorders>
        <w:shd w:val="clear" w:color="auto" w:fill="348DA5" w:themeFill="accent5" w:themeFillShade="cc"/>
      </w:tcPr>
    </w:tblStylePr>
    <w:tblStylePr w:type="lastRow">
      <w:rPr>
        <w:b/>
        <w:bCs/>
        <w:color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themeColor="text1"/>
      </w:rPr>
      <w:tblPr/>
      <w:tcPr>
        <w:shd w:val="clear" w:color="auto" w:fill="999999" w:themeFill="text1" w:themeFillTint="66"/>
      </w:tcPr>
    </w:tblStylePr>
    <w:tblStylePr w:type="firstCol">
      <w:rPr>
        <w:color w:themeColor="background1"/>
      </w:rPr>
      <w:tblPr/>
      <w:tcPr>
        <w:shd w:val="clear" w:color="auto" w:fill="000000" w:themeFill="text1" w:themeFillShade="bf"/>
      </w:tcPr>
    </w:tblStylePr>
    <w:tblStylePr w:type="lastCol">
      <w:rPr>
        <w:color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themeColor="text1"/>
      </w:rPr>
      <w:tblPr/>
      <w:tcPr>
        <w:shd w:val="clear" w:color="auto" w:fill="B8CCE4" w:themeFill="accent1" w:themeFillTint="66"/>
      </w:tcPr>
    </w:tblStylePr>
    <w:tblStylePr w:type="firstCol">
      <w:rPr>
        <w:color w:themeColor="background1"/>
      </w:rPr>
      <w:tblPr/>
      <w:tcPr>
        <w:shd w:val="clear" w:color="auto" w:fill="365F91" w:themeFill="accent1" w:themeFillShade="bf"/>
      </w:tcPr>
    </w:tblStylePr>
    <w:tblStylePr w:type="lastCol">
      <w:rPr>
        <w:color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themeColor="text1"/>
      </w:rPr>
      <w:tblPr/>
      <w:tcPr>
        <w:shd w:val="clear" w:color="auto" w:fill="E5B8B7" w:themeFill="accent2" w:themeFillTint="66"/>
      </w:tcPr>
    </w:tblStylePr>
    <w:tblStylePr w:type="firstCol">
      <w:rPr>
        <w:color w:themeColor="background1"/>
      </w:rPr>
      <w:tblPr/>
      <w:tcPr>
        <w:shd w:val="clear" w:color="auto" w:fill="943634" w:themeFill="accent2" w:themeFillShade="bf"/>
      </w:tcPr>
    </w:tblStylePr>
    <w:tblStylePr w:type="lastCol">
      <w:rPr>
        <w:color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themeColor="text1"/>
      </w:rPr>
      <w:tblPr/>
      <w:tcPr>
        <w:shd w:val="clear" w:color="auto" w:fill="D6E3BC" w:themeFill="accent3" w:themeFillTint="66"/>
      </w:tcPr>
    </w:tblStylePr>
    <w:tblStylePr w:type="firstCol">
      <w:rPr>
        <w:color w:themeColor="background1"/>
      </w:rPr>
      <w:tblPr/>
      <w:tcPr>
        <w:shd w:val="clear" w:color="auto" w:fill="76923C" w:themeFill="accent3" w:themeFillShade="bf"/>
      </w:tcPr>
    </w:tblStylePr>
    <w:tblStylePr w:type="lastCol">
      <w:rPr>
        <w:color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themeColor="text1"/>
      </w:rPr>
      <w:tblPr/>
      <w:tcPr>
        <w:shd w:val="clear" w:color="auto" w:fill="CCC0D9" w:themeFill="accent4" w:themeFillTint="66"/>
      </w:tcPr>
    </w:tblStylePr>
    <w:tblStylePr w:type="firstCol">
      <w:rPr>
        <w:color w:themeColor="background1"/>
      </w:rPr>
      <w:tblPr/>
      <w:tcPr>
        <w:shd w:val="clear" w:color="auto" w:fill="5F497A" w:themeFill="accent4" w:themeFillShade="bf"/>
      </w:tcPr>
    </w:tblStylePr>
    <w:tblStylePr w:type="lastCol">
      <w:rPr>
        <w:color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themeColor="text1"/>
      </w:rPr>
      <w:tblPr/>
      <w:tcPr>
        <w:shd w:val="clear" w:color="auto" w:fill="B6DDE8" w:themeFill="accent5" w:themeFillTint="66"/>
      </w:tcPr>
    </w:tblStylePr>
    <w:tblStylePr w:type="firstCol">
      <w:rPr>
        <w:color w:themeColor="background1"/>
      </w:rPr>
      <w:tblPr/>
      <w:tcPr>
        <w:shd w:val="clear" w:color="auto" w:fill="31849B" w:themeFill="accent5" w:themeFillShade="bf"/>
      </w:tcPr>
    </w:tblStylePr>
    <w:tblStylePr w:type="lastCol">
      <w:rPr>
        <w:color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themeColor="text1"/>
      </w:rPr>
      <w:tblPr/>
      <w:tcPr>
        <w:shd w:val="clear" w:color="auto" w:fill="FBD4B4" w:themeFill="accent6" w:themeFillTint="66"/>
      </w:tcPr>
    </w:tblStylePr>
    <w:tblStylePr w:type="firstCol">
      <w:rPr>
        <w:color w:themeColor="background1"/>
      </w:rPr>
      <w:tblPr/>
      <w:tcPr>
        <w:shd w:val="clear" w:color="auto" w:fill="E36C0A" w:themeFill="accent6" w:themeFillShade="bf"/>
      </w:tcPr>
    </w:tblStylePr>
    <w:tblStylePr w:type="lastCol">
      <w:rPr>
        <w:color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Relationship Id="rId12"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Application>LibreOffice/24.2.7.2$Linux_X86_64 LibreOffice_project/420$Build-2</Application>
  <AppVersion>15.0000</AppVersion>
  <Pages>4</Pages>
  <Words>739</Words>
  <Characters>3997</Characters>
  <CharactersWithSpaces>4638</CharactersWithSpaces>
  <Paragraphs>75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fr-FR</dc:language>
  <cp:lastModifiedBy/>
  <dcterms:modified xsi:type="dcterms:W3CDTF">2026-09-01T13:37:01Z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