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ҚҰРЫЛЫС-МОНТАЖ ЖҰМЫСТАРЫНЫҢ БАСТАЛҒАНЫ ТУРАЛЫ ХАБАРЛАМА — НЕНІ ДАЙЫНДАУ КЕРЕК</w:t>
      </w:r>
    </w:p>
    <w:p>
      <w:pPr>
        <w:spacing w:before="0" w:after="0" w:line="264" w:lineRule="auto"/>
      </w:pPr>
      <w:r>
        <w:rPr/>
        <w:t xml:space="preserve">(мемлекеттік сәулет-құрылыс бақылауы органдарына портал арқылы электрондық түрде беріледі; нысанын қолданыстағы қағидалар айқындайды)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ТАПСЫРЫС БЕРУШІ ТУРАЛЫ МӘЛІМЕТТЕР</w:t>
      </w:r>
    </w:p>
    <w:p>
      <w:pPr>
        <w:spacing w:before="0" w:after="0" w:line="264" w:lineRule="auto"/>
      </w:pPr>
      <w:r>
        <w:rPr/>
        <w:t xml:space="preserve">☐ Атауы, БСН, мекенжайы, басшысы, ЭЦҚ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ОБЪЕКТ ТУРАЛЫ МӘЛІМЕТТЕР</w:t>
      </w:r>
    </w:p>
    <w:p>
      <w:pPr>
        <w:spacing w:before="0" w:after="0" w:line="264" w:lineRule="auto"/>
      </w:pPr>
      <w:r>
        <w:rPr/>
        <w:t xml:space="preserve">☐ Объектінің атауы мен мекенжайы, учаскенің кадастрлық нөмірі</w:t>
      </w:r>
    </w:p>
    <w:p>
      <w:pPr>
        <w:spacing w:before="0" w:after="0" w:line="264" w:lineRule="auto"/>
      </w:pPr>
      <w:r>
        <w:rPr/>
        <w:t xml:space="preserve">☐ Жауапкершілік деңгейі, техникалық сипаттамалары (қабаттылығы, ауданы)</w:t>
      </w:r>
    </w:p>
    <w:p>
      <w:pPr>
        <w:spacing w:before="0" w:after="0" w:line="264" w:lineRule="auto"/>
      </w:pPr>
      <w:r>
        <w:rPr/>
        <w:t xml:space="preserve">☐ Құрылыстың басталуы мен аяқталуының жоспарлы күндері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ҚҰЖАТТАР</w:t>
      </w:r>
    </w:p>
    <w:p>
      <w:pPr>
        <w:spacing w:before="0" w:after="0" w:line="264" w:lineRule="auto"/>
      </w:pPr>
      <w:r>
        <w:rPr/>
        <w:t xml:space="preserve">☐ ЖСҚ-ның ведомстводан тыс кешенді сараптамасының оң қорытындысы</w:t>
      </w:r>
    </w:p>
    <w:p>
      <w:pPr>
        <w:spacing w:before="0" w:after="0" w:line="264" w:lineRule="auto"/>
      </w:pPr>
      <w:r>
        <w:rPr/>
        <w:t xml:space="preserve">☐ Жер учаскесіне сәйкестендіру құжаты</w:t>
      </w:r>
    </w:p>
    <w:p>
      <w:pPr>
        <w:spacing w:before="0" w:after="0" w:line="264" w:lineRule="auto"/>
      </w:pPr>
      <w:r>
        <w:rPr/>
        <w:t xml:space="preserve">☐ Бас мердігерлік шарт, бас мердігердің лицензиясы</w:t>
      </w:r>
    </w:p>
    <w:p>
      <w:pPr>
        <w:spacing w:before="0" w:after="0" w:line="264" w:lineRule="auto"/>
      </w:pPr>
      <w:r>
        <w:rPr/>
        <w:t xml:space="preserve">☐ Техникалық қадағалау шарты, техникалық қадағалау сарапшыларының аттестаттары</w:t>
      </w:r>
    </w:p>
    <w:p>
      <w:pPr>
        <w:spacing w:before="0" w:after="0" w:line="264" w:lineRule="auto"/>
      </w:pPr>
      <w:r>
        <w:rPr/>
        <w:t xml:space="preserve">☐ Авторлық қадағалау шарты</w:t>
      </w:r>
    </w:p>
    <w:p>
      <w:pPr>
        <w:spacing w:before="0" w:after="0" w:line="264" w:lineRule="auto"/>
      </w:pPr>
      <w:r>
        <w:rPr/>
        <w:t xml:space="preserve">☐ Жауапты тұлғаларды тағайындау туралы бұйрықтар (тапсырыс беруші, бас мердігер)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БЕРГЕННЕН КЕЙІН</w:t>
      </w:r>
    </w:p>
    <w:p>
      <w:pPr>
        <w:spacing w:before="0" w:after="0" w:line="264" w:lineRule="auto"/>
      </w:pPr>
      <w:r>
        <w:rPr/>
        <w:t xml:space="preserve">☐ Хабарламаның қабылданғаны туралы растама алынды</w:t>
      </w:r>
    </w:p>
    <w:p>
      <w:pPr>
        <w:spacing w:before="0" w:after="0" w:line="264" w:lineRule="auto"/>
      </w:pPr>
      <w:r>
        <w:rPr/>
        <w:t xml:space="preserve">☐ Объект паспорты қоршауға орнатылды</w:t>
      </w:r>
    </w:p>
    <w:p>
      <w:pPr>
        <w:spacing w:before="0" w:after="0" w:line="264" w:lineRule="auto"/>
      </w:pPr>
      <w:r>
        <w:rPr/>
        <w:t xml:space="preserve">☐ Жұмыстардың жалпы журналы ашылды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